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6293A">
      <w:pPr>
        <w:spacing w:before="189" w:line="350" w:lineRule="auto"/>
        <w:ind w:left="18" w:leftChars="0" w:right="322" w:hanging="18" w:firstLineChars="0"/>
        <w:jc w:val="center"/>
        <w:rPr>
          <w:rFonts w:hint="eastAsia" w:ascii="宋体" w:hAnsi="宋体" w:eastAsia="宋体" w:cs="宋体"/>
          <w:b/>
          <w:bCs/>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十五</w:t>
      </w:r>
      <w:r>
        <w:rPr>
          <w:rFonts w:hint="eastAsia" w:ascii="宋体" w:hAnsi="宋体" w:eastAsia="宋体" w:cs="宋体"/>
          <w:b/>
          <w:bCs/>
          <w:sz w:val="30"/>
          <w:szCs w:val="30"/>
        </w:rPr>
        <w:t>届全国大学生电子商务“创新、创意及创业”挑战赛</w:t>
      </w:r>
    </w:p>
    <w:p w14:paraId="22BE6007">
      <w:pPr>
        <w:spacing w:before="189" w:line="350" w:lineRule="auto"/>
        <w:ind w:left="18" w:leftChars="0" w:right="322" w:hanging="18" w:firstLineChars="0"/>
        <w:jc w:val="center"/>
        <w:rPr>
          <w:rFonts w:hint="eastAsia" w:ascii="宋体" w:hAnsi="宋体" w:eastAsia="宋体" w:cs="宋体"/>
          <w:b/>
          <w:bCs/>
          <w:sz w:val="30"/>
          <w:szCs w:val="30"/>
        </w:rPr>
      </w:pPr>
      <w:r>
        <w:rPr>
          <w:rFonts w:hint="eastAsia" w:ascii="宋体" w:hAnsi="宋体" w:eastAsia="宋体" w:cs="宋体"/>
          <w:b/>
          <w:bCs/>
          <w:sz w:val="30"/>
          <w:szCs w:val="30"/>
        </w:rPr>
        <w:t>**赛区省级选拔赛计划书</w:t>
      </w:r>
    </w:p>
    <w:p w14:paraId="07CCFD57">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z w:val="24"/>
          <w:szCs w:val="24"/>
        </w:rPr>
      </w:pPr>
      <w:r>
        <w:rPr>
          <w:rFonts w:ascii="宋体" w:hAnsi="宋体" w:eastAsia="宋体" w:cs="宋体"/>
          <w:spacing w:val="4"/>
          <w:sz w:val="24"/>
          <w:szCs w:val="24"/>
          <w14:textOutline w14:w="5451" w14:cap="flat" w14:cmpd="sng">
            <w14:solidFill>
              <w14:srgbClr w14:val="000000"/>
            </w14:solidFill>
            <w14:prstDash w14:val="solid"/>
            <w14:miter w14:val="0"/>
          </w14:textOutline>
        </w:rPr>
        <w:t>一、竞</w:t>
      </w:r>
      <w:r>
        <w:rPr>
          <w:rFonts w:ascii="宋体" w:hAnsi="宋体" w:eastAsia="宋体" w:cs="宋体"/>
          <w:spacing w:val="3"/>
          <w:sz w:val="24"/>
          <w:szCs w:val="24"/>
          <w14:textOutline w14:w="5451" w14:cap="flat" w14:cmpd="sng">
            <w14:solidFill>
              <w14:srgbClr w14:val="000000"/>
            </w14:solidFill>
            <w14:prstDash w14:val="solid"/>
            <w14:miter w14:val="0"/>
          </w14:textOutline>
        </w:rPr>
        <w:t>赛</w:t>
      </w:r>
      <w:r>
        <w:rPr>
          <w:rFonts w:ascii="宋体" w:hAnsi="宋体" w:eastAsia="宋体" w:cs="宋体"/>
          <w:spacing w:val="2"/>
          <w:sz w:val="24"/>
          <w:szCs w:val="24"/>
          <w14:textOutline w14:w="5451" w14:cap="flat" w14:cmpd="sng">
            <w14:solidFill>
              <w14:srgbClr w14:val="000000"/>
            </w14:solidFill>
            <w14:prstDash w14:val="solid"/>
            <w14:miter w14:val="0"/>
          </w14:textOutline>
        </w:rPr>
        <w:t>组织</w:t>
      </w:r>
      <w:r>
        <w:rPr>
          <w:rFonts w:hint="eastAsia" w:ascii="宋体" w:hAnsi="宋体" w:eastAsia="宋体" w:cs="宋体"/>
          <w:spacing w:val="2"/>
          <w:sz w:val="24"/>
          <w:szCs w:val="24"/>
          <w:lang w:eastAsia="zh-CN"/>
        </w:rPr>
        <w:t>（</w:t>
      </w:r>
      <w:r>
        <w:rPr>
          <w:rFonts w:ascii="宋体" w:hAnsi="宋体" w:eastAsia="宋体" w:cs="宋体"/>
          <w:spacing w:val="2"/>
          <w:sz w:val="24"/>
          <w:szCs w:val="24"/>
          <w14:textOutline w14:w="5451" w14:cap="flat" w14:cmpd="sng">
            <w14:solidFill>
              <w14:srgbClr w14:val="000000"/>
            </w14:solidFill>
            <w14:prstDash w14:val="solid"/>
            <w14:miter w14:val="0"/>
          </w14:textOutline>
        </w:rPr>
        <w:t>根据实际情况填写</w:t>
      </w:r>
      <w:r>
        <w:rPr>
          <w:rFonts w:hint="eastAsia" w:ascii="宋体" w:hAnsi="宋体" w:eastAsia="宋体" w:cs="宋体"/>
          <w:spacing w:val="2"/>
          <w:sz w:val="24"/>
          <w:szCs w:val="24"/>
          <w:lang w:eastAsia="zh-CN"/>
          <w14:textOutline w14:w="5451" w14:cap="flat" w14:cmpd="sng">
            <w14:solidFill>
              <w14:srgbClr w14:val="000000"/>
            </w14:solidFill>
            <w14:prstDash w14:val="solid"/>
            <w14:miter w14:val="0"/>
          </w14:textOutline>
        </w:rPr>
        <w:t>）</w:t>
      </w:r>
    </w:p>
    <w:p w14:paraId="072D9D10">
      <w:pPr>
        <w:spacing w:before="78" w:line="361" w:lineRule="auto"/>
        <w:ind w:left="24" w:firstLine="483"/>
        <w:rPr>
          <w:rFonts w:hint="eastAsia" w:ascii="宋体" w:hAnsi="宋体" w:eastAsia="宋体" w:cs="宋体"/>
          <w:spacing w:val="-5"/>
          <w:sz w:val="24"/>
          <w:szCs w:val="24"/>
          <w:lang w:val="en-US" w:eastAsia="zh-CN"/>
        </w:rPr>
      </w:pPr>
      <w:r>
        <w:rPr>
          <w:rFonts w:ascii="宋体" w:hAnsi="宋体" w:eastAsia="宋体" w:cs="宋体"/>
          <w:spacing w:val="-5"/>
          <w:sz w:val="24"/>
          <w:szCs w:val="24"/>
        </w:rPr>
        <w:t>主办单位：</w:t>
      </w:r>
      <w:r>
        <w:rPr>
          <w:rFonts w:hint="eastAsia" w:ascii="宋体" w:hAnsi="宋体" w:eastAsia="宋体" w:cs="宋体"/>
          <w:spacing w:val="-5"/>
          <w:sz w:val="24"/>
          <w:szCs w:val="24"/>
          <w:lang w:eastAsia="zh-CN"/>
        </w:rPr>
        <w:t>第十五届</w:t>
      </w:r>
      <w:r>
        <w:rPr>
          <w:rFonts w:hint="eastAsia" w:ascii="宋体" w:hAnsi="宋体" w:eastAsia="宋体" w:cs="宋体"/>
          <w:spacing w:val="-5"/>
          <w:sz w:val="24"/>
          <w:szCs w:val="24"/>
          <w:lang w:val="en-US" w:eastAsia="zh-CN"/>
        </w:rPr>
        <w:t>全国大学生电子商务“创新、创意及创业”挑战赛组委会</w:t>
      </w:r>
    </w:p>
    <w:p w14:paraId="0E15A68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承办单位：</w:t>
      </w:r>
    </w:p>
    <w:p w14:paraId="6C5C08B9">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冠名单位：</w:t>
      </w:r>
    </w:p>
    <w:p w14:paraId="2E94A39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协办单位：</w:t>
      </w:r>
    </w:p>
    <w:p w14:paraId="29FF0C1D">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赞助单位：</w:t>
      </w:r>
    </w:p>
    <w:p w14:paraId="1E12C21D">
      <w:pPr>
        <w:spacing w:before="78" w:line="361" w:lineRule="auto"/>
        <w:ind w:left="24" w:firstLine="483"/>
        <w:rPr>
          <w:rFonts w:hint="default" w:ascii="宋体" w:hAnsi="宋体" w:eastAsia="宋体" w:cs="宋体"/>
          <w:spacing w:val="-5"/>
          <w:sz w:val="24"/>
          <w:szCs w:val="24"/>
          <w:lang w:val="en-US"/>
        </w:rPr>
      </w:pPr>
      <w:r>
        <w:rPr>
          <w:rFonts w:hint="eastAsia" w:ascii="宋体" w:hAnsi="宋体" w:eastAsia="宋体" w:cs="宋体"/>
          <w:spacing w:val="-5"/>
          <w:sz w:val="24"/>
          <w:szCs w:val="24"/>
          <w:lang w:val="en-US" w:eastAsia="zh-CN"/>
        </w:rPr>
        <w:t>本省级赛</w:t>
      </w:r>
      <w:r>
        <w:rPr>
          <w:rFonts w:ascii="宋体" w:hAnsi="宋体" w:eastAsia="宋体" w:cs="宋体"/>
          <w:spacing w:val="-5"/>
          <w:sz w:val="24"/>
          <w:szCs w:val="24"/>
        </w:rPr>
        <w:t>竞赛组织委员会</w:t>
      </w:r>
      <w:r>
        <w:rPr>
          <w:rFonts w:hint="eastAsia" w:ascii="宋体" w:hAnsi="宋体" w:eastAsia="宋体" w:cs="宋体"/>
          <w:spacing w:val="-5"/>
          <w:sz w:val="24"/>
          <w:szCs w:val="24"/>
          <w:lang w:val="en-US" w:eastAsia="zh-CN"/>
        </w:rPr>
        <w:t>应该联系本省级教育厅、商务厅等政府部门，联系本省级有电子商务的各所高校以及参加本次省级赛的各个院校的领导、专家，积极联系以本省级为主的电子商务主要企业组成本省级赛组委会，组委会应包含：</w:t>
      </w:r>
    </w:p>
    <w:p w14:paraId="02FC77EC">
      <w:pPr>
        <w:spacing w:before="78" w:line="361" w:lineRule="auto"/>
        <w:ind w:left="24" w:firstLine="483"/>
        <w:rPr>
          <w:rFonts w:hint="default" w:ascii="宋体" w:hAnsi="宋体" w:eastAsia="宋体" w:cs="宋体"/>
          <w:spacing w:val="-5"/>
          <w:sz w:val="24"/>
          <w:szCs w:val="24"/>
          <w:lang w:val="en-US" w:eastAsia="zh-CN"/>
        </w:rPr>
      </w:pPr>
      <w:r>
        <w:rPr>
          <w:rFonts w:hint="eastAsia" w:ascii="宋体" w:hAnsi="宋体" w:eastAsia="宋体" w:cs="宋体"/>
          <w:spacing w:val="-5"/>
          <w:sz w:val="24"/>
          <w:szCs w:val="24"/>
        </w:rPr>
        <w:t>1.</w:t>
      </w:r>
      <w:r>
        <w:rPr>
          <w:rFonts w:ascii="宋体" w:hAnsi="宋体" w:eastAsia="宋体" w:cs="宋体"/>
          <w:spacing w:val="-5"/>
          <w:sz w:val="24"/>
          <w:szCs w:val="24"/>
        </w:rPr>
        <w:t>领导班子</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应该有本省级的政府领导、高校领导和企业界领导）</w:t>
      </w:r>
    </w:p>
    <w:p w14:paraId="31E6C6B7">
      <w:pPr>
        <w:spacing w:before="78" w:line="361" w:lineRule="auto"/>
        <w:ind w:left="24" w:firstLine="483"/>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2.专家委员会（本省级赛的评委专家组、纪检组、仲裁组等）</w:t>
      </w:r>
    </w:p>
    <w:p w14:paraId="1C31F693">
      <w:pPr>
        <w:spacing w:before="78" w:line="361" w:lineRule="auto"/>
        <w:ind w:left="24" w:firstLine="483"/>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r>
        <w:rPr>
          <w:rFonts w:ascii="宋体" w:hAnsi="宋体" w:eastAsia="宋体" w:cs="宋体"/>
          <w:spacing w:val="-5"/>
          <w:sz w:val="24"/>
          <w:szCs w:val="24"/>
        </w:rPr>
        <w:t>竞赛秘书处</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以本校职能部门和相关院系为主构建秘书处）应该设立竞赛组、后勤组、宣传组等工作组</w:t>
      </w:r>
    </w:p>
    <w:p w14:paraId="2888D30B">
      <w:pPr>
        <w:spacing w:before="78" w:line="361" w:lineRule="auto"/>
        <w:ind w:left="24" w:firstLine="483"/>
        <w:rPr>
          <w:rFonts w:ascii="宋体" w:hAnsi="宋体" w:eastAsia="宋体" w:cs="宋体"/>
          <w:spacing w:val="-5"/>
          <w:sz w:val="24"/>
          <w:szCs w:val="24"/>
        </w:rPr>
      </w:pPr>
      <w:r>
        <w:rPr>
          <w:rFonts w:ascii="宋体" w:hAnsi="宋体" w:eastAsia="宋体" w:cs="宋体"/>
          <w:spacing w:val="-5"/>
          <w:sz w:val="24"/>
          <w:szCs w:val="24"/>
        </w:rPr>
        <w:t>大赛主题：</w:t>
      </w:r>
      <w:r>
        <w:rPr>
          <w:rFonts w:hint="eastAsia" w:ascii="宋体" w:hAnsi="宋体" w:eastAsia="宋体" w:cs="宋体"/>
          <w:spacing w:val="-5"/>
          <w:sz w:val="24"/>
          <w:szCs w:val="24"/>
          <w:lang w:eastAsia="zh-CN"/>
        </w:rPr>
        <w:t>（</w:t>
      </w:r>
      <w:r>
        <w:rPr>
          <w:rFonts w:ascii="宋体" w:hAnsi="宋体" w:eastAsia="宋体" w:cs="宋体"/>
          <w:spacing w:val="-5"/>
          <w:sz w:val="24"/>
          <w:szCs w:val="24"/>
        </w:rPr>
        <w:t>可选填</w:t>
      </w:r>
      <w:r>
        <w:rPr>
          <w:rFonts w:hint="eastAsia" w:ascii="宋体" w:hAnsi="宋体" w:eastAsia="宋体" w:cs="宋体"/>
          <w:spacing w:val="-5"/>
          <w:sz w:val="24"/>
          <w:szCs w:val="24"/>
          <w:lang w:eastAsia="zh-CN"/>
        </w:rPr>
        <w:t>）</w:t>
      </w:r>
    </w:p>
    <w:p w14:paraId="7CDA1EC2">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二、竞赛实施方案</w:t>
      </w:r>
    </w:p>
    <w:p w14:paraId="2EB030E8">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1.把握原则：省级赛组委会工作严格按照《规则》开展。</w:t>
      </w:r>
    </w:p>
    <w:p w14:paraId="031766A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2.省赛竞赛方式及时间、地点</w:t>
      </w:r>
    </w:p>
    <w:p w14:paraId="73F255B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（1）竞赛方式：纯线下（）；线下+线上（）；【括号中打√】</w:t>
      </w:r>
    </w:p>
    <w:p w14:paraId="0CBCF9C9">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注：省级赛只采用以上两种方式，都必须按照团队8分钟演讲+评委7分钟问答的比赛规则执行。没有特殊情况，都应在线下举办竞赛。</w:t>
      </w:r>
    </w:p>
    <w:p w14:paraId="2E570E3E">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（2）竞赛时间和地点</w:t>
      </w:r>
    </w:p>
    <w:p w14:paraId="5F0457AD">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1）小组赛比赛时间：      地点：      小组数：      </w:t>
      </w:r>
    </w:p>
    <w:p w14:paraId="72671654">
      <w:pPr>
        <w:spacing w:before="78" w:line="361" w:lineRule="auto"/>
        <w:ind w:left="24" w:firstLine="483"/>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2）终极赛比赛时间：      地点：      </w:t>
      </w:r>
    </w:p>
    <w:p w14:paraId="11783A22">
      <w:pPr>
        <w:spacing w:before="78" w:line="361" w:lineRule="auto"/>
        <w:ind w:left="24" w:firstLine="483"/>
        <w:rPr>
          <w:rFonts w:hint="eastAsia" w:ascii="宋体" w:hAnsi="宋体" w:eastAsia="宋体" w:cs="宋体"/>
          <w:strike/>
          <w:dstrike w:val="0"/>
          <w:spacing w:val="-5"/>
          <w:sz w:val="24"/>
          <w:szCs w:val="24"/>
          <w:lang w:val="en-US" w:eastAsia="zh-CN"/>
        </w:rPr>
      </w:pPr>
      <w:r>
        <w:rPr>
          <w:rFonts w:hint="eastAsia" w:ascii="宋体" w:hAnsi="宋体" w:eastAsia="宋体" w:cs="宋体"/>
          <w:strike/>
          <w:dstrike w:val="0"/>
          <w:spacing w:val="-5"/>
          <w:sz w:val="24"/>
          <w:szCs w:val="24"/>
          <w:lang w:val="en-US" w:eastAsia="zh-CN"/>
        </w:rPr>
        <w:t>3.省赛入围团队数及获奖数实施方案</w:t>
      </w:r>
      <w:r>
        <w:rPr>
          <w:rFonts w:hint="eastAsia" w:ascii="宋体" w:hAnsi="宋体" w:eastAsia="宋体" w:cs="宋体"/>
          <w:strike w:val="0"/>
          <w:dstrike w:val="0"/>
          <w:color w:val="FF0000"/>
          <w:spacing w:val="-5"/>
          <w:sz w:val="24"/>
          <w:szCs w:val="24"/>
          <w:lang w:val="en-US" w:eastAsia="zh-CN"/>
        </w:rPr>
        <w:t>（建议删除）</w:t>
      </w:r>
    </w:p>
    <w:p w14:paraId="132F5A88">
      <w:pPr>
        <w:spacing w:before="78" w:line="361" w:lineRule="auto"/>
        <w:ind w:left="24" w:firstLine="483"/>
        <w:rPr>
          <w:rFonts w:hint="eastAsia" w:ascii="宋体" w:hAnsi="宋体" w:eastAsia="宋体" w:cs="宋体"/>
          <w:strike/>
          <w:dstrike w:val="0"/>
          <w:spacing w:val="-5"/>
          <w:sz w:val="24"/>
          <w:szCs w:val="24"/>
          <w:lang w:val="en-US" w:eastAsia="zh-CN"/>
        </w:rPr>
      </w:pPr>
      <w:r>
        <w:rPr>
          <w:rFonts w:hint="eastAsia" w:ascii="宋体" w:hAnsi="宋体" w:eastAsia="宋体" w:cs="宋体"/>
          <w:strike/>
          <w:dstrike w:val="0"/>
          <w:spacing w:val="-5"/>
          <w:sz w:val="24"/>
          <w:szCs w:val="24"/>
          <w:lang w:val="en-US" w:eastAsia="zh-CN"/>
        </w:rPr>
        <w:t>（1）常规赛晋级省赛团队数及获奖数按大赛规则执行。</w:t>
      </w:r>
    </w:p>
    <w:p w14:paraId="1B35E241">
      <w:pPr>
        <w:spacing w:before="78" w:line="361" w:lineRule="auto"/>
        <w:ind w:left="24" w:firstLine="483"/>
        <w:rPr>
          <w:rFonts w:hint="eastAsia" w:ascii="宋体" w:hAnsi="宋体" w:eastAsia="宋体" w:cs="宋体"/>
          <w:strike/>
          <w:dstrike w:val="0"/>
          <w:spacing w:val="-5"/>
          <w:sz w:val="24"/>
          <w:szCs w:val="24"/>
          <w:lang w:val="en-US" w:eastAsia="zh-CN"/>
        </w:rPr>
      </w:pPr>
      <w:r>
        <w:rPr>
          <w:rFonts w:hint="eastAsia" w:ascii="宋体" w:hAnsi="宋体" w:eastAsia="宋体" w:cs="宋体"/>
          <w:strike/>
          <w:dstrike w:val="0"/>
          <w:spacing w:val="-5"/>
          <w:sz w:val="24"/>
          <w:szCs w:val="24"/>
          <w:lang w:val="en-US" w:eastAsia="zh-CN"/>
        </w:rPr>
        <w:t>（2）实战赛晋级省赛团队数及获奖方案如下：</w:t>
      </w:r>
    </w:p>
    <w:p w14:paraId="6EB08DA8">
      <w:pPr>
        <w:spacing w:before="78" w:line="361" w:lineRule="auto"/>
        <w:ind w:left="24" w:firstLine="483"/>
        <w:rPr>
          <w:rFonts w:hint="eastAsia" w:ascii="宋体" w:hAnsi="宋体" w:eastAsia="宋体" w:cs="宋体"/>
          <w:strike/>
          <w:dstrike w:val="0"/>
          <w:spacing w:val="-5"/>
          <w:sz w:val="24"/>
          <w:szCs w:val="24"/>
          <w:lang w:val="en-US" w:eastAsia="zh-CN"/>
        </w:rPr>
      </w:pPr>
      <w:r>
        <w:rPr>
          <w:rFonts w:hint="eastAsia" w:ascii="宋体" w:hAnsi="宋体" w:eastAsia="宋体" w:cs="宋体"/>
          <w:strike/>
          <w:dstrike w:val="0"/>
          <w:spacing w:val="-5"/>
          <w:sz w:val="24"/>
          <w:szCs w:val="24"/>
          <w:lang w:val="en-US" w:eastAsia="zh-CN"/>
        </w:rPr>
        <w:t>1）首先按该省有效实战赛校赛数与有效常规赛校赛数的比例给出该省实战赛晋级省赛的总数；</w:t>
      </w:r>
    </w:p>
    <w:p w14:paraId="794297C9">
      <w:pPr>
        <w:spacing w:before="78" w:line="361" w:lineRule="auto"/>
        <w:ind w:left="24" w:firstLine="483"/>
        <w:rPr>
          <w:rFonts w:hint="eastAsia" w:ascii="宋体" w:hAnsi="宋体" w:eastAsia="宋体" w:cs="宋体"/>
          <w:strike/>
          <w:dstrike w:val="0"/>
          <w:spacing w:val="-5"/>
          <w:sz w:val="24"/>
          <w:szCs w:val="24"/>
          <w:lang w:val="en-US" w:eastAsia="zh-CN"/>
        </w:rPr>
      </w:pPr>
      <w:r>
        <w:rPr>
          <w:rFonts w:hint="eastAsia" w:ascii="宋体" w:hAnsi="宋体" w:eastAsia="宋体" w:cs="宋体"/>
          <w:strike/>
          <w:dstrike w:val="0"/>
          <w:spacing w:val="-5"/>
          <w:sz w:val="24"/>
          <w:szCs w:val="24"/>
          <w:lang w:val="en-US" w:eastAsia="zh-CN"/>
        </w:rPr>
        <w:t>2）省级赛实战赛的分组，原则上也应该在20支团队左右，可适当扩大省级赛实战赛的团队总数；</w:t>
      </w:r>
    </w:p>
    <w:p w14:paraId="74288B80">
      <w:pPr>
        <w:spacing w:before="78" w:line="361" w:lineRule="auto"/>
        <w:ind w:left="24" w:firstLine="483"/>
        <w:rPr>
          <w:rFonts w:hint="eastAsia" w:ascii="宋体" w:hAnsi="宋体" w:eastAsia="宋体" w:cs="宋体"/>
          <w:strike/>
          <w:dstrike w:val="0"/>
          <w:spacing w:val="-5"/>
          <w:sz w:val="24"/>
          <w:szCs w:val="24"/>
          <w:lang w:val="en-US" w:eastAsia="zh-CN"/>
        </w:rPr>
      </w:pPr>
      <w:r>
        <w:rPr>
          <w:rFonts w:hint="eastAsia" w:ascii="宋体" w:hAnsi="宋体" w:eastAsia="宋体" w:cs="宋体"/>
          <w:strike/>
          <w:dstrike w:val="0"/>
          <w:spacing w:val="-5"/>
          <w:sz w:val="24"/>
          <w:szCs w:val="24"/>
          <w:lang w:val="en-US" w:eastAsia="zh-CN"/>
        </w:rPr>
        <w:t>3）在给学校分配实战赛团队数时，原则上按细分赛事分配晋级团队的数目。如果该校实战赛参赛团队比较分散，可以考虑对细分赛事横向比较，校赛创分成绩高的团队优先；</w:t>
      </w:r>
    </w:p>
    <w:p w14:paraId="559992D2">
      <w:pPr>
        <w:spacing w:before="78" w:line="361" w:lineRule="auto"/>
        <w:ind w:left="24" w:firstLine="483"/>
        <w:rPr>
          <w:rFonts w:hint="eastAsia" w:ascii="宋体" w:hAnsi="宋体" w:eastAsia="宋体" w:cs="宋体"/>
          <w:strike/>
          <w:dstrike w:val="0"/>
          <w:spacing w:val="-5"/>
          <w:sz w:val="24"/>
          <w:szCs w:val="24"/>
          <w:lang w:val="en-US" w:eastAsia="zh-CN"/>
        </w:rPr>
      </w:pPr>
      <w:r>
        <w:rPr>
          <w:rFonts w:hint="eastAsia" w:ascii="宋体" w:hAnsi="宋体" w:eastAsia="宋体" w:cs="宋体"/>
          <w:strike/>
          <w:dstrike w:val="0"/>
          <w:spacing w:val="-5"/>
          <w:sz w:val="24"/>
          <w:szCs w:val="24"/>
          <w:lang w:val="en-US" w:eastAsia="zh-CN"/>
        </w:rPr>
        <w:t>4）对单一实战赛达到20支团队左右的小组应当按比例设置特、一、二等级奖和单项奖；除此可根据各单项实战赛的团队数额考虑适当的等级奖和单项奖。</w:t>
      </w:r>
    </w:p>
    <w:p w14:paraId="0A7457DF">
      <w:pPr>
        <w:spacing w:before="78" w:line="361" w:lineRule="auto"/>
        <w:ind w:left="24" w:firstLine="483"/>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4.赛区具体数据</w:t>
      </w:r>
    </w:p>
    <w:p w14:paraId="33B0F94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（1）全省所有高校校赛有效团队数：（  ），其中：</w:t>
      </w:r>
    </w:p>
    <w:p w14:paraId="7027E634">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常规赛校赛有效团队数：（  ）</w:t>
      </w:r>
    </w:p>
    <w:p w14:paraId="3794F2DF">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跨境电商实战赛校赛有效团队数：（  ）</w:t>
      </w:r>
    </w:p>
    <w:p w14:paraId="638FEB47">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乡村振兴实战赛校赛有效团队数：（  ）</w:t>
      </w:r>
    </w:p>
    <w:p w14:paraId="59A1BEC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产学用（BUC）实战赛校赛有效团队数：（  ）</w:t>
      </w:r>
    </w:p>
    <w:p w14:paraId="46EDD0A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商务大数据分析实战赛校赛有效团队数：（  ）</w:t>
      </w:r>
    </w:p>
    <w:p w14:paraId="205F1C5D">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直播电商实战赛校赛有效团队数：（  ）</w:t>
      </w:r>
    </w:p>
    <w:p w14:paraId="51860F7F">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（2）晋级省赛的团队总数：（  ），其中：</w:t>
      </w:r>
    </w:p>
    <w:p w14:paraId="1290303F">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晋级省赛的常规赛团队总数：（  ）</w:t>
      </w:r>
    </w:p>
    <w:p w14:paraId="3AF147FD">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晋级省赛的乡村振兴实战赛团队总数：（  ）</w:t>
      </w:r>
    </w:p>
    <w:p w14:paraId="6A5485C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晋级省赛的产学用（BUC）实战赛团队总数：（  ）</w:t>
      </w:r>
    </w:p>
    <w:p w14:paraId="4F87AD4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晋级省赛的商务大数据分析实战赛团队总数：（  ）</w:t>
      </w:r>
    </w:p>
    <w:p w14:paraId="52B1884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晋级省赛的跨境电商实战赛团队总数：（  ）</w:t>
      </w:r>
    </w:p>
    <w:p w14:paraId="091BB2C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晋级省赛的直播电商实战赛团队总数：（  ）</w:t>
      </w:r>
    </w:p>
    <w:p w14:paraId="5E7C3F84">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（3）晋级省赛的比例：（  )，其中：</w:t>
      </w:r>
    </w:p>
    <w:p w14:paraId="05BB4C12">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晋级省赛的常规赛团队比例：（  ）</w:t>
      </w:r>
    </w:p>
    <w:p w14:paraId="0F63AED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晋级省赛的乡村振兴实战赛团队比例：（  ）</w:t>
      </w:r>
    </w:p>
    <w:p w14:paraId="76D8D147">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晋级省赛的产学用（BUC）实战赛团队比例：（  )</w:t>
      </w:r>
    </w:p>
    <w:p w14:paraId="5F79F70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晋级省赛的商务大数据分析实战赛团队比例：(  )</w:t>
      </w:r>
    </w:p>
    <w:p w14:paraId="49E991B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晋级省赛的跨境电商实战赛团队比例：(  )</w:t>
      </w:r>
    </w:p>
    <w:p w14:paraId="7E11C69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晋级省赛的直播电商实战赛团队比例：(  )</w:t>
      </w:r>
    </w:p>
    <w:p w14:paraId="61A92AD4">
      <w:pPr>
        <w:spacing w:before="78" w:line="361" w:lineRule="auto"/>
        <w:ind w:left="24" w:firstLine="483"/>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5.各参赛高校名额分配一览表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6"/>
        <w:gridCol w:w="1066"/>
        <w:gridCol w:w="1066"/>
        <w:gridCol w:w="1066"/>
        <w:gridCol w:w="1066"/>
        <w:gridCol w:w="1066"/>
      </w:tblGrid>
      <w:tr w14:paraId="7D8CDC0B">
        <w:tc>
          <w:tcPr>
            <w:tcW w:w="1065" w:type="dxa"/>
            <w:vAlign w:val="center"/>
          </w:tcPr>
          <w:p w14:paraId="15663B03">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序号</w:t>
            </w:r>
          </w:p>
        </w:tc>
        <w:tc>
          <w:tcPr>
            <w:tcW w:w="1065" w:type="dxa"/>
            <w:vAlign w:val="center"/>
          </w:tcPr>
          <w:p w14:paraId="33861637">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学校名</w:t>
            </w:r>
          </w:p>
        </w:tc>
        <w:tc>
          <w:tcPr>
            <w:tcW w:w="1066" w:type="dxa"/>
            <w:vAlign w:val="center"/>
          </w:tcPr>
          <w:p w14:paraId="1C2CAEB2">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常规赛</w:t>
            </w:r>
          </w:p>
        </w:tc>
        <w:tc>
          <w:tcPr>
            <w:tcW w:w="1066" w:type="dxa"/>
            <w:vAlign w:val="center"/>
          </w:tcPr>
          <w:p w14:paraId="165BA8C8">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跨境电商实战赛</w:t>
            </w:r>
          </w:p>
        </w:tc>
        <w:tc>
          <w:tcPr>
            <w:tcW w:w="1066" w:type="dxa"/>
            <w:vAlign w:val="center"/>
          </w:tcPr>
          <w:p w14:paraId="2D02EF40">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产学用（BUC）实战赛</w:t>
            </w:r>
          </w:p>
        </w:tc>
        <w:tc>
          <w:tcPr>
            <w:tcW w:w="1066" w:type="dxa"/>
            <w:vAlign w:val="center"/>
          </w:tcPr>
          <w:p w14:paraId="606BF296">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商务大数据分析实战赛</w:t>
            </w:r>
          </w:p>
        </w:tc>
        <w:tc>
          <w:tcPr>
            <w:tcW w:w="1066" w:type="dxa"/>
            <w:vAlign w:val="center"/>
          </w:tcPr>
          <w:p w14:paraId="37708452">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直播电商实战赛</w:t>
            </w:r>
          </w:p>
        </w:tc>
        <w:tc>
          <w:tcPr>
            <w:tcW w:w="1066" w:type="dxa"/>
            <w:vAlign w:val="center"/>
          </w:tcPr>
          <w:p w14:paraId="67ACDF8A">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乡村振兴实战赛</w:t>
            </w:r>
          </w:p>
        </w:tc>
      </w:tr>
      <w:tr w14:paraId="2BBBB006">
        <w:tc>
          <w:tcPr>
            <w:tcW w:w="1065" w:type="dxa"/>
          </w:tcPr>
          <w:p w14:paraId="23BBC0CC">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1</w:t>
            </w:r>
          </w:p>
        </w:tc>
        <w:tc>
          <w:tcPr>
            <w:tcW w:w="1065" w:type="dxa"/>
          </w:tcPr>
          <w:p w14:paraId="4FEF8D59">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w:t>
            </w:r>
          </w:p>
        </w:tc>
        <w:tc>
          <w:tcPr>
            <w:tcW w:w="1066" w:type="dxa"/>
          </w:tcPr>
          <w:p w14:paraId="1560D963">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15</w:t>
            </w:r>
          </w:p>
        </w:tc>
        <w:tc>
          <w:tcPr>
            <w:tcW w:w="1066" w:type="dxa"/>
          </w:tcPr>
          <w:p w14:paraId="105837D9">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c>
          <w:tcPr>
            <w:tcW w:w="1066" w:type="dxa"/>
          </w:tcPr>
          <w:p w14:paraId="33C7F15D">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c>
          <w:tcPr>
            <w:tcW w:w="1066" w:type="dxa"/>
          </w:tcPr>
          <w:p w14:paraId="06A8A288">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c>
          <w:tcPr>
            <w:tcW w:w="1066" w:type="dxa"/>
          </w:tcPr>
          <w:p w14:paraId="1998EEB1">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c>
          <w:tcPr>
            <w:tcW w:w="1066" w:type="dxa"/>
          </w:tcPr>
          <w:p w14:paraId="38E0583F">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r>
      <w:tr w14:paraId="545DA7A9">
        <w:tc>
          <w:tcPr>
            <w:tcW w:w="1065" w:type="dxa"/>
          </w:tcPr>
          <w:p w14:paraId="0A583016">
            <w:pPr>
              <w:widowControl w:val="0"/>
              <w:spacing w:before="78" w:line="361" w:lineRule="auto"/>
              <w:rPr>
                <w:rFonts w:hint="eastAsia" w:ascii="宋体" w:hAnsi="宋体" w:eastAsia="宋体" w:cs="宋体"/>
                <w:spacing w:val="-5"/>
                <w:sz w:val="24"/>
                <w:szCs w:val="24"/>
                <w:vertAlign w:val="baseline"/>
                <w:lang w:val="en-US" w:eastAsia="zh-CN"/>
              </w:rPr>
            </w:pPr>
          </w:p>
        </w:tc>
        <w:tc>
          <w:tcPr>
            <w:tcW w:w="1065" w:type="dxa"/>
          </w:tcPr>
          <w:p w14:paraId="36861A9E">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44DFCC11">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7C003AB2">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3EEC6E9F">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51DBA174">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037FE11D">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546F74BC">
            <w:pPr>
              <w:widowControl w:val="0"/>
              <w:spacing w:before="78" w:line="361" w:lineRule="auto"/>
              <w:rPr>
                <w:rFonts w:hint="eastAsia" w:ascii="宋体" w:hAnsi="宋体" w:eastAsia="宋体" w:cs="宋体"/>
                <w:spacing w:val="-5"/>
                <w:sz w:val="24"/>
                <w:szCs w:val="24"/>
                <w:vertAlign w:val="baseline"/>
                <w:lang w:val="en-US" w:eastAsia="zh-CN"/>
              </w:rPr>
            </w:pPr>
          </w:p>
        </w:tc>
      </w:tr>
    </w:tbl>
    <w:p w14:paraId="786A0A66">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firstLine="460" w:firstLineChars="200"/>
        <w:textAlignment w:val="baseline"/>
        <w:outlineLvl w:val="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6.奖项数量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6"/>
        <w:gridCol w:w="1066"/>
        <w:gridCol w:w="1066"/>
        <w:gridCol w:w="1066"/>
        <w:gridCol w:w="1066"/>
        <w:gridCol w:w="1066"/>
      </w:tblGrid>
      <w:tr w14:paraId="73CA48EF">
        <w:trPr>
          <w:jc w:val="center"/>
        </w:trPr>
        <w:tc>
          <w:tcPr>
            <w:tcW w:w="1065" w:type="dxa"/>
            <w:vAlign w:val="center"/>
          </w:tcPr>
          <w:p w14:paraId="2846185A">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奖项</w:t>
            </w:r>
          </w:p>
        </w:tc>
        <w:tc>
          <w:tcPr>
            <w:tcW w:w="1066" w:type="dxa"/>
            <w:vAlign w:val="center"/>
          </w:tcPr>
          <w:p w14:paraId="41C20649">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常规赛</w:t>
            </w:r>
          </w:p>
        </w:tc>
        <w:tc>
          <w:tcPr>
            <w:tcW w:w="1066" w:type="dxa"/>
            <w:vAlign w:val="center"/>
          </w:tcPr>
          <w:p w14:paraId="57028A0C">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跨境电商实战赛</w:t>
            </w:r>
          </w:p>
        </w:tc>
        <w:tc>
          <w:tcPr>
            <w:tcW w:w="1066" w:type="dxa"/>
            <w:vAlign w:val="center"/>
          </w:tcPr>
          <w:p w14:paraId="70138815">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产学用（BUC）实战赛</w:t>
            </w:r>
          </w:p>
        </w:tc>
        <w:tc>
          <w:tcPr>
            <w:tcW w:w="1066" w:type="dxa"/>
            <w:vAlign w:val="center"/>
          </w:tcPr>
          <w:p w14:paraId="26441EF5">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商务大数据分析实战赛</w:t>
            </w:r>
          </w:p>
        </w:tc>
        <w:tc>
          <w:tcPr>
            <w:tcW w:w="1066" w:type="dxa"/>
            <w:vAlign w:val="center"/>
          </w:tcPr>
          <w:p w14:paraId="4EC4794F">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直播电商实战赛</w:t>
            </w:r>
          </w:p>
        </w:tc>
        <w:tc>
          <w:tcPr>
            <w:tcW w:w="1066" w:type="dxa"/>
            <w:vAlign w:val="center"/>
          </w:tcPr>
          <w:p w14:paraId="2DB00559">
            <w:pPr>
              <w:widowControl w:val="0"/>
              <w:spacing w:before="78" w:line="240" w:lineRule="auto"/>
              <w:jc w:val="left"/>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乡村振兴实战赛</w:t>
            </w:r>
          </w:p>
        </w:tc>
      </w:tr>
      <w:tr w14:paraId="6A01B786">
        <w:trPr>
          <w:jc w:val="center"/>
        </w:trPr>
        <w:tc>
          <w:tcPr>
            <w:tcW w:w="1065" w:type="dxa"/>
          </w:tcPr>
          <w:p w14:paraId="15CF950B">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金奖</w:t>
            </w:r>
          </w:p>
        </w:tc>
        <w:tc>
          <w:tcPr>
            <w:tcW w:w="1066" w:type="dxa"/>
          </w:tcPr>
          <w:p w14:paraId="00FD5040">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15</w:t>
            </w:r>
          </w:p>
        </w:tc>
        <w:tc>
          <w:tcPr>
            <w:tcW w:w="1066" w:type="dxa"/>
          </w:tcPr>
          <w:p w14:paraId="6A532A64">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c>
          <w:tcPr>
            <w:tcW w:w="1066" w:type="dxa"/>
          </w:tcPr>
          <w:p w14:paraId="77D85156">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c>
          <w:tcPr>
            <w:tcW w:w="1066" w:type="dxa"/>
          </w:tcPr>
          <w:p w14:paraId="59A82114">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c>
          <w:tcPr>
            <w:tcW w:w="1066" w:type="dxa"/>
          </w:tcPr>
          <w:p w14:paraId="0299908E">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c>
          <w:tcPr>
            <w:tcW w:w="1066" w:type="dxa"/>
          </w:tcPr>
          <w:p w14:paraId="18786543">
            <w:pPr>
              <w:widowControl w:val="0"/>
              <w:spacing w:before="78" w:line="361" w:lineRule="auto"/>
              <w:rPr>
                <w:rFonts w:hint="default" w:ascii="宋体" w:hAnsi="宋体" w:eastAsia="宋体" w:cs="宋体"/>
                <w:spacing w:val="-5"/>
                <w:sz w:val="21"/>
                <w:szCs w:val="21"/>
                <w:vertAlign w:val="baseline"/>
                <w:lang w:val="en-US" w:eastAsia="zh-CN"/>
              </w:rPr>
            </w:pPr>
            <w:r>
              <w:rPr>
                <w:rFonts w:hint="eastAsia" w:ascii="宋体" w:hAnsi="宋体" w:eastAsia="宋体" w:cs="宋体"/>
                <w:spacing w:val="-5"/>
                <w:sz w:val="21"/>
                <w:szCs w:val="21"/>
                <w:vertAlign w:val="baseline"/>
                <w:lang w:val="en-US" w:eastAsia="zh-CN"/>
              </w:rPr>
              <w:t>2</w:t>
            </w:r>
          </w:p>
        </w:tc>
      </w:tr>
      <w:tr w14:paraId="1DF143A5">
        <w:trPr>
          <w:jc w:val="center"/>
        </w:trPr>
        <w:tc>
          <w:tcPr>
            <w:tcW w:w="1065" w:type="dxa"/>
          </w:tcPr>
          <w:p w14:paraId="7BE13A8C">
            <w:pPr>
              <w:widowControl w:val="0"/>
              <w:spacing w:before="78" w:line="361" w:lineRule="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银奖</w:t>
            </w:r>
          </w:p>
        </w:tc>
        <w:tc>
          <w:tcPr>
            <w:tcW w:w="1066" w:type="dxa"/>
          </w:tcPr>
          <w:p w14:paraId="2B9C03C9">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70281657">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7E1416BA">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3A07D867">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1B0A0150">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0ADDA3EF">
            <w:pPr>
              <w:widowControl w:val="0"/>
              <w:spacing w:before="78" w:line="361" w:lineRule="auto"/>
              <w:rPr>
                <w:rFonts w:hint="eastAsia" w:ascii="宋体" w:hAnsi="宋体" w:eastAsia="宋体" w:cs="宋体"/>
                <w:spacing w:val="-5"/>
                <w:sz w:val="24"/>
                <w:szCs w:val="24"/>
                <w:vertAlign w:val="baseline"/>
                <w:lang w:val="en-US" w:eastAsia="zh-CN"/>
              </w:rPr>
            </w:pPr>
          </w:p>
        </w:tc>
      </w:tr>
      <w:tr w14:paraId="317588A9">
        <w:trPr>
          <w:jc w:val="center"/>
        </w:trPr>
        <w:tc>
          <w:tcPr>
            <w:tcW w:w="1065" w:type="dxa"/>
          </w:tcPr>
          <w:p w14:paraId="48711304">
            <w:pPr>
              <w:widowControl w:val="0"/>
              <w:spacing w:before="78" w:line="361" w:lineRule="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铜奖</w:t>
            </w:r>
            <w:bookmarkStart w:id="0" w:name="_GoBack"/>
            <w:bookmarkEnd w:id="0"/>
          </w:p>
        </w:tc>
        <w:tc>
          <w:tcPr>
            <w:tcW w:w="1066" w:type="dxa"/>
          </w:tcPr>
          <w:p w14:paraId="22CFBF48">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4B217CCF">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5331CBCA">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4684B24E">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2123199F">
            <w:pPr>
              <w:widowControl w:val="0"/>
              <w:spacing w:before="78" w:line="361" w:lineRule="auto"/>
              <w:rPr>
                <w:rFonts w:hint="eastAsia" w:ascii="宋体" w:hAnsi="宋体" w:eastAsia="宋体" w:cs="宋体"/>
                <w:spacing w:val="-5"/>
                <w:sz w:val="24"/>
                <w:szCs w:val="24"/>
                <w:vertAlign w:val="baseline"/>
                <w:lang w:val="en-US" w:eastAsia="zh-CN"/>
              </w:rPr>
            </w:pPr>
          </w:p>
        </w:tc>
        <w:tc>
          <w:tcPr>
            <w:tcW w:w="1066" w:type="dxa"/>
          </w:tcPr>
          <w:p w14:paraId="3E04BA03">
            <w:pPr>
              <w:widowControl w:val="0"/>
              <w:spacing w:before="78" w:line="361" w:lineRule="auto"/>
              <w:rPr>
                <w:rFonts w:hint="eastAsia" w:ascii="宋体" w:hAnsi="宋体" w:eastAsia="宋体" w:cs="宋体"/>
                <w:spacing w:val="-5"/>
                <w:sz w:val="24"/>
                <w:szCs w:val="24"/>
                <w:vertAlign w:val="baseline"/>
                <w:lang w:val="en-US" w:eastAsia="zh-CN"/>
              </w:rPr>
            </w:pPr>
          </w:p>
        </w:tc>
      </w:tr>
    </w:tbl>
    <w:p w14:paraId="4A2D7127">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firstLine="460" w:firstLineChars="200"/>
        <w:textAlignment w:val="baseline"/>
        <w:outlineLvl w:val="0"/>
        <w:rPr>
          <w:rFonts w:hint="eastAsia" w:ascii="宋体" w:hAnsi="宋体" w:eastAsia="宋体" w:cs="宋体"/>
          <w:spacing w:val="-5"/>
          <w:sz w:val="24"/>
          <w:szCs w:val="24"/>
          <w:lang w:val="en-US" w:eastAsia="zh-CN"/>
        </w:rPr>
      </w:pPr>
    </w:p>
    <w:p w14:paraId="515F2BEA">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三、评审专家</w:t>
      </w:r>
    </w:p>
    <w:p w14:paraId="70C4393E">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1.评审专家设置</w:t>
      </w:r>
    </w:p>
    <w:p w14:paraId="7AADC97D">
      <w:pPr>
        <w:spacing w:line="130" w:lineRule="exact"/>
      </w:pPr>
    </w:p>
    <w:tbl>
      <w:tblPr>
        <w:tblStyle w:val="6"/>
        <w:tblW w:w="7104"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2"/>
        <w:gridCol w:w="854"/>
        <w:gridCol w:w="1409"/>
        <w:gridCol w:w="3559"/>
      </w:tblGrid>
      <w:tr w14:paraId="411816AD">
        <w:trPr>
          <w:trHeight w:val="332" w:hRule="atLeast"/>
        </w:trPr>
        <w:tc>
          <w:tcPr>
            <w:tcW w:w="2136" w:type="dxa"/>
            <w:gridSpan w:val="2"/>
            <w:tcBorders>
              <w:top w:val="single" w:color="000000" w:sz="2" w:space="0"/>
              <w:bottom w:val="single" w:color="000000" w:sz="2" w:space="0"/>
            </w:tcBorders>
            <w:vAlign w:val="top"/>
          </w:tcPr>
          <w:p w14:paraId="6831832A">
            <w:pPr>
              <w:spacing w:before="44" w:line="215" w:lineRule="auto"/>
              <w:ind w:left="596"/>
              <w:rPr>
                <w:rFonts w:ascii="楷体" w:hAnsi="楷体" w:eastAsia="楷体" w:cs="楷体"/>
                <w:sz w:val="24"/>
                <w:szCs w:val="24"/>
              </w:rPr>
            </w:pPr>
            <w:r>
              <w:rPr>
                <w:rFonts w:ascii="楷体" w:hAnsi="楷体" w:eastAsia="楷体" w:cs="楷体"/>
                <w:spacing w:val="-2"/>
                <w:sz w:val="24"/>
                <w:szCs w:val="24"/>
              </w:rPr>
              <w:t>评审小组</w:t>
            </w:r>
          </w:p>
        </w:tc>
        <w:tc>
          <w:tcPr>
            <w:tcW w:w="1409" w:type="dxa"/>
            <w:tcBorders>
              <w:top w:val="single" w:color="000000" w:sz="2" w:space="0"/>
              <w:bottom w:val="single" w:color="000000" w:sz="2" w:space="0"/>
            </w:tcBorders>
            <w:vAlign w:val="top"/>
          </w:tcPr>
          <w:p w14:paraId="70BA8AF0">
            <w:pPr>
              <w:spacing w:before="43" w:line="222" w:lineRule="auto"/>
              <w:ind w:left="470"/>
              <w:rPr>
                <w:rFonts w:ascii="楷体" w:hAnsi="楷体" w:eastAsia="楷体" w:cs="楷体"/>
                <w:sz w:val="24"/>
                <w:szCs w:val="24"/>
              </w:rPr>
            </w:pPr>
            <w:r>
              <w:rPr>
                <w:rFonts w:ascii="楷体" w:hAnsi="楷体" w:eastAsia="楷体" w:cs="楷体"/>
                <w:spacing w:val="-2"/>
                <w:sz w:val="24"/>
                <w:szCs w:val="24"/>
              </w:rPr>
              <w:t>姓名</w:t>
            </w:r>
          </w:p>
        </w:tc>
        <w:tc>
          <w:tcPr>
            <w:tcW w:w="3559" w:type="dxa"/>
            <w:tcBorders>
              <w:top w:val="single" w:color="000000" w:sz="2" w:space="0"/>
              <w:bottom w:val="single" w:color="000000" w:sz="2" w:space="0"/>
            </w:tcBorders>
            <w:vAlign w:val="top"/>
          </w:tcPr>
          <w:p w14:paraId="3851C54A">
            <w:pPr>
              <w:spacing w:before="44" w:line="217" w:lineRule="auto"/>
              <w:ind w:left="1200"/>
              <w:rPr>
                <w:rFonts w:ascii="楷体" w:hAnsi="楷体" w:eastAsia="楷体" w:cs="楷体"/>
                <w:sz w:val="24"/>
                <w:szCs w:val="24"/>
              </w:rPr>
            </w:pPr>
            <w:r>
              <w:rPr>
                <w:rFonts w:ascii="楷体" w:hAnsi="楷体" w:eastAsia="楷体" w:cs="楷体"/>
                <w:spacing w:val="-4"/>
                <w:sz w:val="24"/>
                <w:szCs w:val="24"/>
              </w:rPr>
              <w:t>单</w:t>
            </w:r>
            <w:r>
              <w:rPr>
                <w:rFonts w:ascii="楷体" w:hAnsi="楷体" w:eastAsia="楷体" w:cs="楷体"/>
                <w:spacing w:val="-3"/>
                <w:sz w:val="24"/>
                <w:szCs w:val="24"/>
              </w:rPr>
              <w:t>位</w:t>
            </w:r>
            <w:r>
              <w:rPr>
                <w:rFonts w:ascii="楷体" w:hAnsi="楷体" w:eastAsia="楷体" w:cs="楷体"/>
                <w:spacing w:val="-2"/>
                <w:sz w:val="24"/>
                <w:szCs w:val="24"/>
              </w:rPr>
              <w:t>及职称</w:t>
            </w:r>
          </w:p>
        </w:tc>
      </w:tr>
      <w:tr w14:paraId="65929321">
        <w:trPr>
          <w:trHeight w:val="310" w:hRule="atLeast"/>
        </w:trPr>
        <w:tc>
          <w:tcPr>
            <w:tcW w:w="1282" w:type="dxa"/>
            <w:vMerge w:val="restart"/>
            <w:tcBorders>
              <w:top w:val="single" w:color="000000" w:sz="2" w:space="0"/>
              <w:bottom w:val="nil"/>
            </w:tcBorders>
            <w:vAlign w:val="top"/>
          </w:tcPr>
          <w:p w14:paraId="4FFEE826">
            <w:pPr>
              <w:spacing w:line="272" w:lineRule="auto"/>
              <w:rPr>
                <w:rFonts w:ascii="Arial"/>
                <w:sz w:val="21"/>
              </w:rPr>
            </w:pPr>
          </w:p>
          <w:p w14:paraId="3CA5BC71">
            <w:pPr>
              <w:spacing w:before="78" w:line="224" w:lineRule="auto"/>
              <w:ind w:left="304"/>
              <w:rPr>
                <w:rFonts w:ascii="楷体" w:hAnsi="楷体" w:eastAsia="楷体" w:cs="楷体"/>
                <w:sz w:val="24"/>
                <w:szCs w:val="24"/>
              </w:rPr>
            </w:pPr>
            <w:r>
              <w:rPr>
                <w:rFonts w:ascii="楷体" w:hAnsi="楷体" w:eastAsia="楷体" w:cs="楷体"/>
                <w:spacing w:val="-4"/>
                <w:sz w:val="24"/>
                <w:szCs w:val="24"/>
              </w:rPr>
              <w:t>纪检组</w:t>
            </w:r>
          </w:p>
        </w:tc>
        <w:tc>
          <w:tcPr>
            <w:tcW w:w="854" w:type="dxa"/>
            <w:tcBorders>
              <w:top w:val="single" w:color="000000" w:sz="2" w:space="0"/>
              <w:bottom w:val="single" w:color="000000" w:sz="2" w:space="0"/>
            </w:tcBorders>
            <w:vAlign w:val="top"/>
          </w:tcPr>
          <w:p w14:paraId="3482BDE8">
            <w:pPr>
              <w:spacing w:before="22"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14:paraId="0DC31BBE">
            <w:pPr>
              <w:rPr>
                <w:rFonts w:ascii="Arial"/>
                <w:sz w:val="21"/>
              </w:rPr>
            </w:pPr>
          </w:p>
        </w:tc>
        <w:tc>
          <w:tcPr>
            <w:tcW w:w="3559" w:type="dxa"/>
            <w:tcBorders>
              <w:top w:val="single" w:color="000000" w:sz="2" w:space="0"/>
              <w:bottom w:val="single" w:color="000000" w:sz="2" w:space="0"/>
            </w:tcBorders>
            <w:vAlign w:val="top"/>
          </w:tcPr>
          <w:p w14:paraId="193E7F4A">
            <w:pPr>
              <w:rPr>
                <w:rFonts w:ascii="Arial"/>
                <w:sz w:val="21"/>
              </w:rPr>
            </w:pPr>
          </w:p>
        </w:tc>
      </w:tr>
      <w:tr w14:paraId="3B5ABC57">
        <w:trPr>
          <w:trHeight w:val="325" w:hRule="atLeast"/>
        </w:trPr>
        <w:tc>
          <w:tcPr>
            <w:tcW w:w="1282" w:type="dxa"/>
            <w:vMerge w:val="continue"/>
            <w:tcBorders>
              <w:top w:val="nil"/>
              <w:bottom w:val="nil"/>
            </w:tcBorders>
            <w:vAlign w:val="top"/>
          </w:tcPr>
          <w:p w14:paraId="3913961B">
            <w:pPr>
              <w:rPr>
                <w:rFonts w:ascii="Arial"/>
                <w:sz w:val="21"/>
              </w:rPr>
            </w:pPr>
          </w:p>
        </w:tc>
        <w:tc>
          <w:tcPr>
            <w:tcW w:w="854" w:type="dxa"/>
            <w:tcBorders>
              <w:top w:val="single" w:color="000000" w:sz="2" w:space="0"/>
              <w:bottom w:val="single" w:color="000000" w:sz="2" w:space="0"/>
            </w:tcBorders>
            <w:vAlign w:val="top"/>
          </w:tcPr>
          <w:p w14:paraId="425A67FE">
            <w:pPr>
              <w:spacing w:before="36"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14:paraId="6B877D29">
            <w:pPr>
              <w:rPr>
                <w:rFonts w:ascii="Arial"/>
                <w:sz w:val="21"/>
              </w:rPr>
            </w:pPr>
          </w:p>
        </w:tc>
        <w:tc>
          <w:tcPr>
            <w:tcW w:w="3559" w:type="dxa"/>
            <w:tcBorders>
              <w:top w:val="single" w:color="000000" w:sz="2" w:space="0"/>
              <w:bottom w:val="single" w:color="000000" w:sz="2" w:space="0"/>
            </w:tcBorders>
            <w:vAlign w:val="top"/>
          </w:tcPr>
          <w:p w14:paraId="4A2C8057">
            <w:pPr>
              <w:rPr>
                <w:rFonts w:ascii="Arial"/>
                <w:sz w:val="21"/>
              </w:rPr>
            </w:pPr>
          </w:p>
        </w:tc>
      </w:tr>
      <w:tr w14:paraId="734D1F0F">
        <w:trPr>
          <w:trHeight w:val="310" w:hRule="atLeast"/>
        </w:trPr>
        <w:tc>
          <w:tcPr>
            <w:tcW w:w="1282" w:type="dxa"/>
            <w:vMerge w:val="continue"/>
            <w:tcBorders>
              <w:top w:val="nil"/>
              <w:bottom w:val="single" w:color="000000" w:sz="2" w:space="0"/>
            </w:tcBorders>
            <w:vAlign w:val="top"/>
          </w:tcPr>
          <w:p w14:paraId="63DB0693">
            <w:pPr>
              <w:rPr>
                <w:rFonts w:ascii="Arial"/>
                <w:sz w:val="21"/>
              </w:rPr>
            </w:pPr>
          </w:p>
        </w:tc>
        <w:tc>
          <w:tcPr>
            <w:tcW w:w="854" w:type="dxa"/>
            <w:tcBorders>
              <w:top w:val="single" w:color="000000" w:sz="2" w:space="0"/>
              <w:bottom w:val="single" w:color="000000" w:sz="2" w:space="0"/>
            </w:tcBorders>
            <w:vAlign w:val="top"/>
          </w:tcPr>
          <w:p w14:paraId="69C18D2B">
            <w:pPr>
              <w:spacing w:before="22"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14:paraId="770BDE5B">
            <w:pPr>
              <w:rPr>
                <w:rFonts w:ascii="Arial"/>
                <w:sz w:val="21"/>
              </w:rPr>
            </w:pPr>
          </w:p>
        </w:tc>
        <w:tc>
          <w:tcPr>
            <w:tcW w:w="3559" w:type="dxa"/>
            <w:tcBorders>
              <w:top w:val="single" w:color="000000" w:sz="2" w:space="0"/>
              <w:bottom w:val="single" w:color="000000" w:sz="2" w:space="0"/>
            </w:tcBorders>
            <w:vAlign w:val="top"/>
          </w:tcPr>
          <w:p w14:paraId="6226C4B9">
            <w:pPr>
              <w:rPr>
                <w:rFonts w:ascii="Arial"/>
                <w:sz w:val="21"/>
              </w:rPr>
            </w:pPr>
          </w:p>
        </w:tc>
      </w:tr>
      <w:tr w14:paraId="294EF56F">
        <w:trPr>
          <w:trHeight w:val="325" w:hRule="atLeast"/>
        </w:trPr>
        <w:tc>
          <w:tcPr>
            <w:tcW w:w="1282" w:type="dxa"/>
            <w:vMerge w:val="restart"/>
            <w:tcBorders>
              <w:top w:val="single" w:color="000000" w:sz="2" w:space="0"/>
              <w:bottom w:val="nil"/>
            </w:tcBorders>
            <w:vAlign w:val="top"/>
          </w:tcPr>
          <w:p w14:paraId="35E343B3">
            <w:pPr>
              <w:spacing w:line="273" w:lineRule="auto"/>
              <w:rPr>
                <w:rFonts w:ascii="Arial"/>
                <w:sz w:val="21"/>
              </w:rPr>
            </w:pPr>
          </w:p>
          <w:p w14:paraId="0CB9B26A">
            <w:pPr>
              <w:spacing w:before="78" w:line="216" w:lineRule="auto"/>
              <w:ind w:left="298"/>
              <w:rPr>
                <w:rFonts w:ascii="楷体" w:hAnsi="楷体" w:eastAsia="楷体" w:cs="楷体"/>
                <w:sz w:val="24"/>
                <w:szCs w:val="24"/>
              </w:rPr>
            </w:pPr>
            <w:r>
              <w:rPr>
                <w:rFonts w:ascii="楷体" w:hAnsi="楷体" w:eastAsia="楷体" w:cs="楷体"/>
                <w:spacing w:val="-4"/>
                <w:sz w:val="24"/>
                <w:szCs w:val="24"/>
              </w:rPr>
              <w:t>仲</w:t>
            </w:r>
            <w:r>
              <w:rPr>
                <w:rFonts w:ascii="楷体" w:hAnsi="楷体" w:eastAsia="楷体" w:cs="楷体"/>
                <w:spacing w:val="-3"/>
                <w:sz w:val="24"/>
                <w:szCs w:val="24"/>
              </w:rPr>
              <w:t>裁</w:t>
            </w:r>
            <w:r>
              <w:rPr>
                <w:rFonts w:ascii="楷体" w:hAnsi="楷体" w:eastAsia="楷体" w:cs="楷体"/>
                <w:spacing w:val="-2"/>
                <w:sz w:val="24"/>
                <w:szCs w:val="24"/>
              </w:rPr>
              <w:t>组</w:t>
            </w:r>
          </w:p>
        </w:tc>
        <w:tc>
          <w:tcPr>
            <w:tcW w:w="854" w:type="dxa"/>
            <w:tcBorders>
              <w:top w:val="single" w:color="000000" w:sz="2" w:space="0"/>
              <w:bottom w:val="single" w:color="000000" w:sz="2" w:space="0"/>
            </w:tcBorders>
            <w:vAlign w:val="top"/>
          </w:tcPr>
          <w:p w14:paraId="0577ACAD">
            <w:pPr>
              <w:spacing w:before="37"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14:paraId="217327F2">
            <w:pPr>
              <w:rPr>
                <w:rFonts w:ascii="Arial"/>
                <w:sz w:val="21"/>
              </w:rPr>
            </w:pPr>
          </w:p>
        </w:tc>
        <w:tc>
          <w:tcPr>
            <w:tcW w:w="3559" w:type="dxa"/>
            <w:tcBorders>
              <w:top w:val="single" w:color="000000" w:sz="2" w:space="0"/>
              <w:bottom w:val="single" w:color="000000" w:sz="2" w:space="0"/>
            </w:tcBorders>
            <w:vAlign w:val="top"/>
          </w:tcPr>
          <w:p w14:paraId="2D25391A">
            <w:pPr>
              <w:rPr>
                <w:rFonts w:ascii="Arial"/>
                <w:sz w:val="21"/>
              </w:rPr>
            </w:pPr>
          </w:p>
        </w:tc>
      </w:tr>
      <w:tr w14:paraId="633F1457">
        <w:trPr>
          <w:trHeight w:val="310" w:hRule="atLeast"/>
        </w:trPr>
        <w:tc>
          <w:tcPr>
            <w:tcW w:w="1282" w:type="dxa"/>
            <w:vMerge w:val="continue"/>
            <w:tcBorders>
              <w:top w:val="nil"/>
              <w:bottom w:val="nil"/>
            </w:tcBorders>
            <w:vAlign w:val="top"/>
          </w:tcPr>
          <w:p w14:paraId="7B486AE9">
            <w:pPr>
              <w:rPr>
                <w:rFonts w:ascii="Arial"/>
                <w:sz w:val="21"/>
              </w:rPr>
            </w:pPr>
          </w:p>
        </w:tc>
        <w:tc>
          <w:tcPr>
            <w:tcW w:w="854" w:type="dxa"/>
            <w:tcBorders>
              <w:top w:val="single" w:color="000000" w:sz="2" w:space="0"/>
              <w:bottom w:val="single" w:color="000000" w:sz="2" w:space="0"/>
            </w:tcBorders>
            <w:vAlign w:val="top"/>
          </w:tcPr>
          <w:p w14:paraId="3F953D49">
            <w:pPr>
              <w:spacing w:before="22"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14:paraId="08AF8EE2">
            <w:pPr>
              <w:rPr>
                <w:rFonts w:ascii="Arial"/>
                <w:sz w:val="21"/>
              </w:rPr>
            </w:pPr>
          </w:p>
        </w:tc>
        <w:tc>
          <w:tcPr>
            <w:tcW w:w="3559" w:type="dxa"/>
            <w:tcBorders>
              <w:top w:val="single" w:color="000000" w:sz="2" w:space="0"/>
              <w:bottom w:val="single" w:color="000000" w:sz="2" w:space="0"/>
            </w:tcBorders>
            <w:vAlign w:val="top"/>
          </w:tcPr>
          <w:p w14:paraId="388F8ED4">
            <w:pPr>
              <w:rPr>
                <w:rFonts w:ascii="Arial"/>
                <w:sz w:val="21"/>
              </w:rPr>
            </w:pPr>
          </w:p>
        </w:tc>
      </w:tr>
      <w:tr w14:paraId="62B97062">
        <w:trPr>
          <w:trHeight w:val="325" w:hRule="atLeast"/>
        </w:trPr>
        <w:tc>
          <w:tcPr>
            <w:tcW w:w="1282" w:type="dxa"/>
            <w:vMerge w:val="continue"/>
            <w:tcBorders>
              <w:top w:val="nil"/>
              <w:bottom w:val="single" w:color="000000" w:sz="2" w:space="0"/>
            </w:tcBorders>
            <w:vAlign w:val="top"/>
          </w:tcPr>
          <w:p w14:paraId="3A3EA1C2">
            <w:pPr>
              <w:rPr>
                <w:rFonts w:ascii="Arial"/>
                <w:sz w:val="21"/>
              </w:rPr>
            </w:pPr>
          </w:p>
        </w:tc>
        <w:tc>
          <w:tcPr>
            <w:tcW w:w="854" w:type="dxa"/>
            <w:tcBorders>
              <w:top w:val="single" w:color="000000" w:sz="2" w:space="0"/>
              <w:bottom w:val="single" w:color="000000" w:sz="2" w:space="0"/>
            </w:tcBorders>
            <w:vAlign w:val="top"/>
          </w:tcPr>
          <w:p w14:paraId="245D254C">
            <w:pPr>
              <w:spacing w:before="3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14:paraId="3BA1D238">
            <w:pPr>
              <w:rPr>
                <w:rFonts w:ascii="Arial"/>
                <w:sz w:val="21"/>
              </w:rPr>
            </w:pPr>
          </w:p>
        </w:tc>
        <w:tc>
          <w:tcPr>
            <w:tcW w:w="3559" w:type="dxa"/>
            <w:tcBorders>
              <w:top w:val="single" w:color="000000" w:sz="2" w:space="0"/>
              <w:bottom w:val="single" w:color="000000" w:sz="2" w:space="0"/>
            </w:tcBorders>
            <w:vAlign w:val="top"/>
          </w:tcPr>
          <w:p w14:paraId="0C38C71A">
            <w:pPr>
              <w:rPr>
                <w:rFonts w:ascii="Arial"/>
                <w:sz w:val="21"/>
              </w:rPr>
            </w:pPr>
          </w:p>
        </w:tc>
      </w:tr>
      <w:tr w14:paraId="34461BBC">
        <w:trPr>
          <w:trHeight w:val="310" w:hRule="atLeast"/>
        </w:trPr>
        <w:tc>
          <w:tcPr>
            <w:tcW w:w="1282" w:type="dxa"/>
            <w:vMerge w:val="restart"/>
            <w:tcBorders>
              <w:top w:val="single" w:color="000000" w:sz="2" w:space="0"/>
              <w:bottom w:val="nil"/>
            </w:tcBorders>
            <w:vAlign w:val="top"/>
          </w:tcPr>
          <w:p w14:paraId="74095CA8">
            <w:pPr>
              <w:spacing w:line="293" w:lineRule="auto"/>
              <w:rPr>
                <w:rFonts w:ascii="Arial"/>
                <w:sz w:val="21"/>
              </w:rPr>
            </w:pPr>
          </w:p>
          <w:p w14:paraId="4729F916">
            <w:pPr>
              <w:spacing w:line="294" w:lineRule="auto"/>
              <w:rPr>
                <w:rFonts w:ascii="Arial"/>
                <w:sz w:val="21"/>
              </w:rPr>
            </w:pPr>
          </w:p>
          <w:p w14:paraId="38B7DCEE">
            <w:pPr>
              <w:spacing w:before="78" w:line="217" w:lineRule="auto"/>
              <w:ind w:left="308"/>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一组</w:t>
            </w:r>
          </w:p>
        </w:tc>
        <w:tc>
          <w:tcPr>
            <w:tcW w:w="854" w:type="dxa"/>
            <w:tcBorders>
              <w:top w:val="single" w:color="000000" w:sz="2" w:space="0"/>
              <w:bottom w:val="single" w:color="000000" w:sz="2" w:space="0"/>
            </w:tcBorders>
            <w:vAlign w:val="top"/>
          </w:tcPr>
          <w:p w14:paraId="1546101B">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14:paraId="02697F8C">
            <w:pPr>
              <w:rPr>
                <w:rFonts w:ascii="Arial"/>
                <w:sz w:val="21"/>
              </w:rPr>
            </w:pPr>
          </w:p>
        </w:tc>
        <w:tc>
          <w:tcPr>
            <w:tcW w:w="3559" w:type="dxa"/>
            <w:tcBorders>
              <w:top w:val="single" w:color="000000" w:sz="2" w:space="0"/>
              <w:bottom w:val="single" w:color="000000" w:sz="2" w:space="0"/>
            </w:tcBorders>
            <w:vAlign w:val="top"/>
          </w:tcPr>
          <w:p w14:paraId="1F43B7D9">
            <w:pPr>
              <w:rPr>
                <w:rFonts w:ascii="Arial"/>
                <w:sz w:val="21"/>
              </w:rPr>
            </w:pPr>
          </w:p>
        </w:tc>
      </w:tr>
      <w:tr w14:paraId="6D6D9F63">
        <w:trPr>
          <w:trHeight w:val="325" w:hRule="atLeast"/>
        </w:trPr>
        <w:tc>
          <w:tcPr>
            <w:tcW w:w="1282" w:type="dxa"/>
            <w:vMerge w:val="continue"/>
            <w:tcBorders>
              <w:top w:val="nil"/>
              <w:bottom w:val="nil"/>
            </w:tcBorders>
            <w:vAlign w:val="top"/>
          </w:tcPr>
          <w:p w14:paraId="615217D3">
            <w:pPr>
              <w:rPr>
                <w:rFonts w:ascii="Arial"/>
                <w:sz w:val="21"/>
              </w:rPr>
            </w:pPr>
          </w:p>
        </w:tc>
        <w:tc>
          <w:tcPr>
            <w:tcW w:w="854" w:type="dxa"/>
            <w:vMerge w:val="restart"/>
            <w:tcBorders>
              <w:top w:val="single" w:color="000000" w:sz="2" w:space="0"/>
              <w:bottom w:val="nil"/>
            </w:tcBorders>
            <w:vAlign w:val="top"/>
          </w:tcPr>
          <w:p w14:paraId="74E0078A">
            <w:pPr>
              <w:spacing w:line="438" w:lineRule="auto"/>
              <w:rPr>
                <w:rFonts w:ascii="Arial"/>
                <w:sz w:val="21"/>
              </w:rPr>
            </w:pPr>
          </w:p>
          <w:p w14:paraId="367F1B5F">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14:paraId="1C4F57A5">
            <w:pPr>
              <w:rPr>
                <w:rFonts w:ascii="Arial"/>
                <w:sz w:val="21"/>
              </w:rPr>
            </w:pPr>
          </w:p>
        </w:tc>
        <w:tc>
          <w:tcPr>
            <w:tcW w:w="3559" w:type="dxa"/>
            <w:tcBorders>
              <w:top w:val="single" w:color="000000" w:sz="2" w:space="0"/>
              <w:bottom w:val="single" w:color="000000" w:sz="2" w:space="0"/>
            </w:tcBorders>
            <w:vAlign w:val="top"/>
          </w:tcPr>
          <w:p w14:paraId="23D81B3A">
            <w:pPr>
              <w:rPr>
                <w:rFonts w:ascii="Arial"/>
                <w:sz w:val="21"/>
              </w:rPr>
            </w:pPr>
          </w:p>
        </w:tc>
      </w:tr>
      <w:tr w14:paraId="61E10C93">
        <w:trPr>
          <w:trHeight w:val="310" w:hRule="atLeast"/>
        </w:trPr>
        <w:tc>
          <w:tcPr>
            <w:tcW w:w="1282" w:type="dxa"/>
            <w:vMerge w:val="continue"/>
            <w:tcBorders>
              <w:top w:val="nil"/>
              <w:bottom w:val="nil"/>
            </w:tcBorders>
            <w:vAlign w:val="top"/>
          </w:tcPr>
          <w:p w14:paraId="39573DE2">
            <w:pPr>
              <w:rPr>
                <w:rFonts w:ascii="Arial"/>
                <w:sz w:val="21"/>
              </w:rPr>
            </w:pPr>
          </w:p>
        </w:tc>
        <w:tc>
          <w:tcPr>
            <w:tcW w:w="854" w:type="dxa"/>
            <w:vMerge w:val="continue"/>
            <w:tcBorders>
              <w:top w:val="nil"/>
              <w:bottom w:val="nil"/>
            </w:tcBorders>
            <w:vAlign w:val="top"/>
          </w:tcPr>
          <w:p w14:paraId="525B77A3">
            <w:pPr>
              <w:rPr>
                <w:rFonts w:ascii="Arial"/>
                <w:sz w:val="21"/>
              </w:rPr>
            </w:pPr>
          </w:p>
        </w:tc>
        <w:tc>
          <w:tcPr>
            <w:tcW w:w="1409" w:type="dxa"/>
            <w:tcBorders>
              <w:top w:val="single" w:color="000000" w:sz="2" w:space="0"/>
              <w:bottom w:val="single" w:color="000000" w:sz="2" w:space="0"/>
            </w:tcBorders>
            <w:vAlign w:val="top"/>
          </w:tcPr>
          <w:p w14:paraId="34AA9747">
            <w:pPr>
              <w:rPr>
                <w:rFonts w:ascii="Arial"/>
                <w:sz w:val="21"/>
              </w:rPr>
            </w:pPr>
          </w:p>
        </w:tc>
        <w:tc>
          <w:tcPr>
            <w:tcW w:w="3559" w:type="dxa"/>
            <w:tcBorders>
              <w:top w:val="single" w:color="000000" w:sz="2" w:space="0"/>
              <w:bottom w:val="single" w:color="000000" w:sz="2" w:space="0"/>
            </w:tcBorders>
            <w:vAlign w:val="top"/>
          </w:tcPr>
          <w:p w14:paraId="05D82478">
            <w:pPr>
              <w:rPr>
                <w:rFonts w:ascii="Arial"/>
                <w:sz w:val="21"/>
              </w:rPr>
            </w:pPr>
          </w:p>
        </w:tc>
      </w:tr>
      <w:tr w14:paraId="6B0EFF58">
        <w:trPr>
          <w:trHeight w:val="325" w:hRule="atLeast"/>
        </w:trPr>
        <w:tc>
          <w:tcPr>
            <w:tcW w:w="1282" w:type="dxa"/>
            <w:vMerge w:val="continue"/>
            <w:tcBorders>
              <w:top w:val="nil"/>
              <w:bottom w:val="nil"/>
            </w:tcBorders>
            <w:vAlign w:val="top"/>
          </w:tcPr>
          <w:p w14:paraId="4E87091F">
            <w:pPr>
              <w:rPr>
                <w:rFonts w:ascii="Arial"/>
                <w:sz w:val="21"/>
              </w:rPr>
            </w:pPr>
          </w:p>
        </w:tc>
        <w:tc>
          <w:tcPr>
            <w:tcW w:w="854" w:type="dxa"/>
            <w:vMerge w:val="continue"/>
            <w:tcBorders>
              <w:top w:val="nil"/>
              <w:bottom w:val="nil"/>
            </w:tcBorders>
            <w:vAlign w:val="top"/>
          </w:tcPr>
          <w:p w14:paraId="17E67A6B">
            <w:pPr>
              <w:rPr>
                <w:rFonts w:ascii="Arial"/>
                <w:sz w:val="21"/>
              </w:rPr>
            </w:pPr>
          </w:p>
        </w:tc>
        <w:tc>
          <w:tcPr>
            <w:tcW w:w="1409" w:type="dxa"/>
            <w:tcBorders>
              <w:top w:val="single" w:color="000000" w:sz="2" w:space="0"/>
              <w:bottom w:val="single" w:color="000000" w:sz="2" w:space="0"/>
            </w:tcBorders>
            <w:vAlign w:val="top"/>
          </w:tcPr>
          <w:p w14:paraId="69DBB432">
            <w:pPr>
              <w:rPr>
                <w:rFonts w:ascii="Arial"/>
                <w:sz w:val="21"/>
              </w:rPr>
            </w:pPr>
          </w:p>
        </w:tc>
        <w:tc>
          <w:tcPr>
            <w:tcW w:w="3559" w:type="dxa"/>
            <w:tcBorders>
              <w:top w:val="single" w:color="000000" w:sz="2" w:space="0"/>
              <w:bottom w:val="single" w:color="000000" w:sz="2" w:space="0"/>
            </w:tcBorders>
            <w:vAlign w:val="top"/>
          </w:tcPr>
          <w:p w14:paraId="423E8E09">
            <w:pPr>
              <w:rPr>
                <w:rFonts w:ascii="Arial"/>
                <w:sz w:val="21"/>
              </w:rPr>
            </w:pPr>
          </w:p>
        </w:tc>
      </w:tr>
      <w:tr w14:paraId="08406804">
        <w:trPr>
          <w:trHeight w:val="310" w:hRule="atLeast"/>
        </w:trPr>
        <w:tc>
          <w:tcPr>
            <w:tcW w:w="1282" w:type="dxa"/>
            <w:vMerge w:val="continue"/>
            <w:tcBorders>
              <w:top w:val="nil"/>
              <w:bottom w:val="single" w:color="000000" w:sz="2" w:space="0"/>
            </w:tcBorders>
            <w:vAlign w:val="top"/>
          </w:tcPr>
          <w:p w14:paraId="15A3C077">
            <w:pPr>
              <w:rPr>
                <w:rFonts w:ascii="Arial"/>
                <w:sz w:val="21"/>
              </w:rPr>
            </w:pPr>
          </w:p>
        </w:tc>
        <w:tc>
          <w:tcPr>
            <w:tcW w:w="854" w:type="dxa"/>
            <w:vMerge w:val="continue"/>
            <w:tcBorders>
              <w:top w:val="nil"/>
              <w:bottom w:val="single" w:color="000000" w:sz="2" w:space="0"/>
            </w:tcBorders>
            <w:vAlign w:val="top"/>
          </w:tcPr>
          <w:p w14:paraId="3D5158C0">
            <w:pPr>
              <w:rPr>
                <w:rFonts w:ascii="Arial"/>
                <w:sz w:val="21"/>
              </w:rPr>
            </w:pPr>
          </w:p>
        </w:tc>
        <w:tc>
          <w:tcPr>
            <w:tcW w:w="1409" w:type="dxa"/>
            <w:tcBorders>
              <w:top w:val="single" w:color="000000" w:sz="2" w:space="0"/>
              <w:bottom w:val="single" w:color="000000" w:sz="2" w:space="0"/>
            </w:tcBorders>
            <w:vAlign w:val="top"/>
          </w:tcPr>
          <w:p w14:paraId="618C1B27">
            <w:pPr>
              <w:rPr>
                <w:rFonts w:ascii="Arial"/>
                <w:sz w:val="21"/>
              </w:rPr>
            </w:pPr>
          </w:p>
        </w:tc>
        <w:tc>
          <w:tcPr>
            <w:tcW w:w="3559" w:type="dxa"/>
            <w:tcBorders>
              <w:top w:val="single" w:color="000000" w:sz="2" w:space="0"/>
              <w:bottom w:val="single" w:color="000000" w:sz="2" w:space="0"/>
            </w:tcBorders>
            <w:vAlign w:val="top"/>
          </w:tcPr>
          <w:p w14:paraId="7B482677">
            <w:pPr>
              <w:rPr>
                <w:rFonts w:ascii="Arial"/>
                <w:sz w:val="21"/>
              </w:rPr>
            </w:pPr>
          </w:p>
        </w:tc>
      </w:tr>
      <w:tr w14:paraId="59B8AF56">
        <w:trPr>
          <w:trHeight w:val="310" w:hRule="atLeast"/>
        </w:trPr>
        <w:tc>
          <w:tcPr>
            <w:tcW w:w="1282" w:type="dxa"/>
            <w:vMerge w:val="restart"/>
            <w:tcBorders>
              <w:top w:val="single" w:color="000000" w:sz="2" w:space="0"/>
              <w:bottom w:val="nil"/>
            </w:tcBorders>
            <w:vAlign w:val="top"/>
          </w:tcPr>
          <w:p w14:paraId="39624A0F">
            <w:pPr>
              <w:spacing w:line="294" w:lineRule="auto"/>
              <w:rPr>
                <w:rFonts w:ascii="Arial"/>
                <w:sz w:val="21"/>
              </w:rPr>
            </w:pPr>
          </w:p>
          <w:p w14:paraId="61FBEF8A">
            <w:pPr>
              <w:spacing w:line="294" w:lineRule="auto"/>
              <w:rPr>
                <w:rFonts w:ascii="Arial"/>
                <w:sz w:val="21"/>
              </w:rPr>
            </w:pPr>
          </w:p>
          <w:p w14:paraId="111E84E9">
            <w:pPr>
              <w:spacing w:before="78" w:line="217" w:lineRule="auto"/>
              <w:ind w:left="308"/>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二组</w:t>
            </w:r>
          </w:p>
        </w:tc>
        <w:tc>
          <w:tcPr>
            <w:tcW w:w="854" w:type="dxa"/>
            <w:tcBorders>
              <w:top w:val="single" w:color="000000" w:sz="2" w:space="0"/>
              <w:bottom w:val="single" w:color="000000" w:sz="2" w:space="0"/>
            </w:tcBorders>
            <w:vAlign w:val="top"/>
          </w:tcPr>
          <w:p w14:paraId="62A6998C">
            <w:pPr>
              <w:spacing w:before="25"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14:paraId="38E16536">
            <w:pPr>
              <w:rPr>
                <w:rFonts w:ascii="Arial"/>
                <w:sz w:val="21"/>
              </w:rPr>
            </w:pPr>
          </w:p>
        </w:tc>
        <w:tc>
          <w:tcPr>
            <w:tcW w:w="3559" w:type="dxa"/>
            <w:tcBorders>
              <w:top w:val="single" w:color="000000" w:sz="2" w:space="0"/>
              <w:bottom w:val="single" w:color="000000" w:sz="2" w:space="0"/>
            </w:tcBorders>
            <w:vAlign w:val="top"/>
          </w:tcPr>
          <w:p w14:paraId="7939E7B2">
            <w:pPr>
              <w:rPr>
                <w:rFonts w:ascii="Arial"/>
                <w:sz w:val="21"/>
              </w:rPr>
            </w:pPr>
          </w:p>
        </w:tc>
      </w:tr>
      <w:tr w14:paraId="6A797498">
        <w:trPr>
          <w:trHeight w:val="325" w:hRule="atLeast"/>
        </w:trPr>
        <w:tc>
          <w:tcPr>
            <w:tcW w:w="1282" w:type="dxa"/>
            <w:vMerge w:val="continue"/>
            <w:tcBorders>
              <w:top w:val="nil"/>
              <w:bottom w:val="nil"/>
            </w:tcBorders>
            <w:vAlign w:val="top"/>
          </w:tcPr>
          <w:p w14:paraId="660C1A24">
            <w:pPr>
              <w:rPr>
                <w:rFonts w:ascii="Arial"/>
                <w:sz w:val="21"/>
              </w:rPr>
            </w:pPr>
          </w:p>
        </w:tc>
        <w:tc>
          <w:tcPr>
            <w:tcW w:w="854" w:type="dxa"/>
            <w:vMerge w:val="restart"/>
            <w:tcBorders>
              <w:top w:val="single" w:color="000000" w:sz="2" w:space="0"/>
              <w:bottom w:val="nil"/>
            </w:tcBorders>
            <w:vAlign w:val="top"/>
          </w:tcPr>
          <w:p w14:paraId="39B78AD7">
            <w:pPr>
              <w:spacing w:line="439" w:lineRule="auto"/>
              <w:rPr>
                <w:rFonts w:ascii="Arial"/>
                <w:sz w:val="21"/>
              </w:rPr>
            </w:pPr>
          </w:p>
          <w:p w14:paraId="5DB816BA">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14:paraId="0F2C0BD3">
            <w:pPr>
              <w:rPr>
                <w:rFonts w:ascii="Arial"/>
                <w:sz w:val="21"/>
              </w:rPr>
            </w:pPr>
          </w:p>
        </w:tc>
        <w:tc>
          <w:tcPr>
            <w:tcW w:w="3559" w:type="dxa"/>
            <w:tcBorders>
              <w:top w:val="single" w:color="000000" w:sz="2" w:space="0"/>
              <w:bottom w:val="single" w:color="000000" w:sz="2" w:space="0"/>
            </w:tcBorders>
            <w:vAlign w:val="top"/>
          </w:tcPr>
          <w:p w14:paraId="018773D9">
            <w:pPr>
              <w:rPr>
                <w:rFonts w:ascii="Arial"/>
                <w:sz w:val="21"/>
              </w:rPr>
            </w:pPr>
          </w:p>
        </w:tc>
      </w:tr>
      <w:tr w14:paraId="47161BDE">
        <w:trPr>
          <w:trHeight w:val="310" w:hRule="atLeast"/>
        </w:trPr>
        <w:tc>
          <w:tcPr>
            <w:tcW w:w="1282" w:type="dxa"/>
            <w:vMerge w:val="continue"/>
            <w:tcBorders>
              <w:top w:val="nil"/>
              <w:bottom w:val="nil"/>
            </w:tcBorders>
            <w:vAlign w:val="top"/>
          </w:tcPr>
          <w:p w14:paraId="260C9D2B">
            <w:pPr>
              <w:rPr>
                <w:rFonts w:ascii="Arial"/>
                <w:sz w:val="21"/>
              </w:rPr>
            </w:pPr>
          </w:p>
        </w:tc>
        <w:tc>
          <w:tcPr>
            <w:tcW w:w="854" w:type="dxa"/>
            <w:vMerge w:val="continue"/>
            <w:tcBorders>
              <w:top w:val="nil"/>
              <w:bottom w:val="nil"/>
            </w:tcBorders>
            <w:vAlign w:val="top"/>
          </w:tcPr>
          <w:p w14:paraId="2F6E9362">
            <w:pPr>
              <w:rPr>
                <w:rFonts w:ascii="Arial"/>
                <w:sz w:val="21"/>
              </w:rPr>
            </w:pPr>
          </w:p>
        </w:tc>
        <w:tc>
          <w:tcPr>
            <w:tcW w:w="1409" w:type="dxa"/>
            <w:tcBorders>
              <w:top w:val="single" w:color="000000" w:sz="2" w:space="0"/>
              <w:bottom w:val="single" w:color="000000" w:sz="2" w:space="0"/>
            </w:tcBorders>
            <w:vAlign w:val="top"/>
          </w:tcPr>
          <w:p w14:paraId="6B312699">
            <w:pPr>
              <w:rPr>
                <w:rFonts w:ascii="Arial"/>
                <w:sz w:val="21"/>
              </w:rPr>
            </w:pPr>
          </w:p>
        </w:tc>
        <w:tc>
          <w:tcPr>
            <w:tcW w:w="3559" w:type="dxa"/>
            <w:tcBorders>
              <w:top w:val="single" w:color="000000" w:sz="2" w:space="0"/>
              <w:bottom w:val="single" w:color="000000" w:sz="2" w:space="0"/>
            </w:tcBorders>
            <w:vAlign w:val="top"/>
          </w:tcPr>
          <w:p w14:paraId="0EC4A2CB">
            <w:pPr>
              <w:rPr>
                <w:rFonts w:ascii="Arial"/>
                <w:sz w:val="21"/>
              </w:rPr>
            </w:pPr>
          </w:p>
        </w:tc>
      </w:tr>
      <w:tr w14:paraId="72BFAA7E">
        <w:trPr>
          <w:trHeight w:val="325" w:hRule="atLeast"/>
        </w:trPr>
        <w:tc>
          <w:tcPr>
            <w:tcW w:w="1282" w:type="dxa"/>
            <w:vMerge w:val="continue"/>
            <w:tcBorders>
              <w:top w:val="nil"/>
              <w:bottom w:val="nil"/>
            </w:tcBorders>
            <w:vAlign w:val="top"/>
          </w:tcPr>
          <w:p w14:paraId="318D6EFD">
            <w:pPr>
              <w:rPr>
                <w:rFonts w:ascii="Arial"/>
                <w:sz w:val="21"/>
              </w:rPr>
            </w:pPr>
          </w:p>
        </w:tc>
        <w:tc>
          <w:tcPr>
            <w:tcW w:w="854" w:type="dxa"/>
            <w:vMerge w:val="continue"/>
            <w:tcBorders>
              <w:top w:val="nil"/>
              <w:bottom w:val="nil"/>
            </w:tcBorders>
            <w:vAlign w:val="top"/>
          </w:tcPr>
          <w:p w14:paraId="632A6E99">
            <w:pPr>
              <w:rPr>
                <w:rFonts w:ascii="Arial"/>
                <w:sz w:val="21"/>
              </w:rPr>
            </w:pPr>
          </w:p>
        </w:tc>
        <w:tc>
          <w:tcPr>
            <w:tcW w:w="1409" w:type="dxa"/>
            <w:tcBorders>
              <w:top w:val="single" w:color="000000" w:sz="2" w:space="0"/>
              <w:bottom w:val="single" w:color="000000" w:sz="2" w:space="0"/>
            </w:tcBorders>
            <w:vAlign w:val="top"/>
          </w:tcPr>
          <w:p w14:paraId="2A7AA09E">
            <w:pPr>
              <w:rPr>
                <w:rFonts w:ascii="Arial"/>
                <w:sz w:val="21"/>
              </w:rPr>
            </w:pPr>
          </w:p>
        </w:tc>
        <w:tc>
          <w:tcPr>
            <w:tcW w:w="3559" w:type="dxa"/>
            <w:tcBorders>
              <w:top w:val="single" w:color="000000" w:sz="2" w:space="0"/>
              <w:bottom w:val="single" w:color="000000" w:sz="2" w:space="0"/>
            </w:tcBorders>
            <w:vAlign w:val="top"/>
          </w:tcPr>
          <w:p w14:paraId="72CB9203">
            <w:pPr>
              <w:rPr>
                <w:rFonts w:ascii="Arial"/>
                <w:sz w:val="21"/>
              </w:rPr>
            </w:pPr>
          </w:p>
        </w:tc>
      </w:tr>
      <w:tr w14:paraId="3D7DB1E6">
        <w:trPr>
          <w:trHeight w:val="317" w:hRule="atLeast"/>
        </w:trPr>
        <w:tc>
          <w:tcPr>
            <w:tcW w:w="1282" w:type="dxa"/>
            <w:vMerge w:val="continue"/>
            <w:tcBorders>
              <w:top w:val="nil"/>
              <w:bottom w:val="single" w:color="000000" w:sz="2" w:space="0"/>
            </w:tcBorders>
            <w:vAlign w:val="top"/>
          </w:tcPr>
          <w:p w14:paraId="72D4A983">
            <w:pPr>
              <w:rPr>
                <w:rFonts w:ascii="Arial"/>
                <w:sz w:val="21"/>
              </w:rPr>
            </w:pPr>
          </w:p>
        </w:tc>
        <w:tc>
          <w:tcPr>
            <w:tcW w:w="854" w:type="dxa"/>
            <w:vMerge w:val="continue"/>
            <w:tcBorders>
              <w:top w:val="nil"/>
              <w:bottom w:val="single" w:color="000000" w:sz="2" w:space="0"/>
            </w:tcBorders>
            <w:vAlign w:val="top"/>
          </w:tcPr>
          <w:p w14:paraId="4DBC46D5">
            <w:pPr>
              <w:rPr>
                <w:rFonts w:ascii="Arial"/>
                <w:sz w:val="21"/>
              </w:rPr>
            </w:pPr>
          </w:p>
        </w:tc>
        <w:tc>
          <w:tcPr>
            <w:tcW w:w="1409" w:type="dxa"/>
            <w:tcBorders>
              <w:top w:val="single" w:color="000000" w:sz="2" w:space="0"/>
              <w:bottom w:val="single" w:color="000000" w:sz="2" w:space="0"/>
            </w:tcBorders>
            <w:vAlign w:val="top"/>
          </w:tcPr>
          <w:p w14:paraId="7F73634B">
            <w:pPr>
              <w:rPr>
                <w:rFonts w:ascii="Arial"/>
                <w:sz w:val="21"/>
              </w:rPr>
            </w:pPr>
          </w:p>
        </w:tc>
        <w:tc>
          <w:tcPr>
            <w:tcW w:w="3559" w:type="dxa"/>
            <w:tcBorders>
              <w:top w:val="single" w:color="000000" w:sz="2" w:space="0"/>
              <w:bottom w:val="single" w:color="000000" w:sz="2" w:space="0"/>
            </w:tcBorders>
            <w:vAlign w:val="top"/>
          </w:tcPr>
          <w:p w14:paraId="32EC82B4">
            <w:pPr>
              <w:rPr>
                <w:rFonts w:ascii="Arial"/>
                <w:sz w:val="21"/>
              </w:rPr>
            </w:pPr>
          </w:p>
        </w:tc>
      </w:tr>
    </w:tbl>
    <w:p w14:paraId="7A45CDE6">
      <w:pPr>
        <w:spacing w:before="1" w:line="219" w:lineRule="auto"/>
        <w:ind w:left="461"/>
        <w:rPr>
          <w:rFonts w:ascii="宋体" w:hAnsi="宋体" w:eastAsia="宋体" w:cs="宋体"/>
          <w:spacing w:val="2"/>
          <w:sz w:val="24"/>
          <w:szCs w:val="24"/>
        </w:rPr>
      </w:pPr>
    </w:p>
    <w:p w14:paraId="57A4904F">
      <w:pPr>
        <w:spacing w:before="78" w:line="361" w:lineRule="auto"/>
        <w:ind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2.可以设法务顾问和专家巡视员，以便为仲裁提供信息。</w:t>
      </w:r>
    </w:p>
    <w:p w14:paraId="633DC7DA">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四、**省级赛竞赛组织委员会联系方式</w:t>
      </w:r>
    </w:p>
    <w:p w14:paraId="6D8C26C3">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1.负责人姓名：</w:t>
      </w:r>
    </w:p>
    <w:p w14:paraId="37A66D6D">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2.管理员姓名：（可多人，最多7人）</w:t>
      </w:r>
    </w:p>
    <w:p w14:paraId="672396E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电话：                电子邮箱：</w:t>
      </w:r>
    </w:p>
    <w:p w14:paraId="4BE3DEF2">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电话：                电子邮箱：</w:t>
      </w:r>
    </w:p>
    <w:p w14:paraId="14C2DDF4">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hint="eastAsia" w:ascii="宋体" w:hAnsi="宋体" w:eastAsia="宋体" w:cs="宋体"/>
          <w:spacing w:val="4"/>
          <w:sz w:val="24"/>
          <w:szCs w:val="24"/>
          <w:lang w:val="en-US" w:eastAsia="zh-CN"/>
          <w14:textOutline w14:w="5451" w14:cap="flat" w14:cmpd="sng">
            <w14:solidFill>
              <w14:srgbClr w14:val="000000"/>
            </w14:solidFill>
            <w14:prstDash w14:val="solid"/>
            <w14:miter w14:val="0"/>
          </w14:textOutline>
        </w:rPr>
      </w:pPr>
      <w:r>
        <w:rPr>
          <w:rFonts w:hint="eastAsia" w:ascii="宋体" w:hAnsi="宋体" w:eastAsia="宋体" w:cs="宋体"/>
          <w:spacing w:val="4"/>
          <w:sz w:val="24"/>
          <w:szCs w:val="24"/>
          <w:lang w:val="en-US" w:eastAsia="zh-CN"/>
          <w14:textOutline w14:w="5451" w14:cap="flat" w14:cmpd="sng">
            <w14:solidFill>
              <w14:srgbClr w14:val="000000"/>
            </w14:solidFill>
            <w14:prstDash w14:val="solid"/>
            <w14:miter w14:val="0"/>
          </w14:textOutline>
        </w:rPr>
        <w:t>五、晋级本省级赛的团队请填写：</w:t>
      </w:r>
    </w:p>
    <w:p w14:paraId="2FD4B5F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**省级赛晋级团队统计表（按校填写，在官网下载）</w:t>
      </w:r>
    </w:p>
    <w:p w14:paraId="44FF7E77">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注：为保障省赛顺利进行，请务必准确填写所有信息。</w:t>
      </w:r>
    </w:p>
    <w:p w14:paraId="0ECB3BAA">
      <w:pPr>
        <w:spacing w:before="78" w:line="600" w:lineRule="auto"/>
        <w:ind w:left="24" w:firstLine="483"/>
        <w:rPr>
          <w:rFonts w:hint="eastAsia" w:ascii="宋体" w:hAnsi="宋体" w:eastAsia="宋体" w:cs="宋体"/>
          <w:spacing w:val="-5"/>
          <w:sz w:val="24"/>
          <w:szCs w:val="24"/>
          <w:lang w:val="en-US" w:eastAsia="zh-CN"/>
        </w:rPr>
      </w:pPr>
    </w:p>
    <w:p w14:paraId="5535791E">
      <w:pPr>
        <w:spacing w:before="78" w:line="600" w:lineRule="auto"/>
        <w:ind w:left="24" w:firstLine="483"/>
        <w:jc w:val="righ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**赛区省级选拔赛竞赛组织委员会</w:t>
      </w:r>
    </w:p>
    <w:p w14:paraId="4D9CB2F3">
      <w:pPr>
        <w:wordWrap w:val="0"/>
        <w:spacing w:before="78" w:line="600" w:lineRule="auto"/>
        <w:ind w:left="24" w:firstLine="483"/>
        <w:jc w:val="right"/>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（承办单位名称）：              </w:t>
      </w:r>
    </w:p>
    <w:p w14:paraId="2365CBBF">
      <w:pPr>
        <w:wordWrap w:val="0"/>
        <w:spacing w:before="78" w:line="600" w:lineRule="auto"/>
        <w:ind w:left="24" w:firstLine="483"/>
        <w:jc w:val="right"/>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负责人签名：              </w:t>
      </w:r>
    </w:p>
    <w:p w14:paraId="12B67A09">
      <w:pPr>
        <w:spacing w:before="78" w:line="600" w:lineRule="auto"/>
        <w:ind w:left="24" w:firstLine="483"/>
        <w:jc w:val="right"/>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年   月   日</w:t>
      </w:r>
    </w:p>
    <w:sectPr>
      <w:headerReference r:id="rId5" w:type="default"/>
      <w:type w:val="continuous"/>
      <w:pgSz w:w="11910" w:h="16845"/>
      <w:pgMar w:top="1440" w:right="1800" w:bottom="1440" w:left="1800" w:header="910" w:footer="0" w:gutter="0"/>
      <w:cols w:equalWidth="0" w:num="1">
        <w:col w:w="83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E276">
    <w:pPr>
      <w:pBdr>
        <w:bottom w:val="none" w:color="auto" w:sz="0" w:space="0"/>
      </w:pBdr>
      <w:spacing w:line="240" w:lineRule="auto"/>
      <w:ind w:left="0"/>
      <w:rPr>
        <w:rFonts w:ascii="微软雅黑" w:hAnsi="微软雅黑" w:eastAsia="微软雅黑" w:cs="微软雅黑"/>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ZhMjgwOTA1ZjVlMTZlYzEwMGM0ZDNjNmY1MDc1NjMifQ=="/>
  </w:docVars>
  <w:rsids>
    <w:rsidRoot w:val="00000000"/>
    <w:rsid w:val="5BFF42FA"/>
    <w:rsid w:val="6DFF8D42"/>
    <w:rsid w:val="6F7D7806"/>
    <w:rsid w:val="77DFEF28"/>
    <w:rsid w:val="877E60FD"/>
    <w:rsid w:val="9FCCB10C"/>
    <w:rsid w:val="D8D681A5"/>
    <w:rsid w:val="DFF8CBEF"/>
    <w:rsid w:val="FB9528C0"/>
    <w:rsid w:val="FBFEC584"/>
    <w:rsid w:val="FF370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1410</Words>
  <Characters>1464</Characters>
  <Lines>0</Lines>
  <Paragraphs>0</Paragraphs>
  <TotalTime>1</TotalTime>
  <ScaleCrop>false</ScaleCrop>
  <LinksUpToDate>false</LinksUpToDate>
  <CharactersWithSpaces>1596</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2023-09-06T19:20:00Z</dcterms:created>
  <dc:creator>92850</dc:creator>
  <cp:lastModifiedBy>lilei</cp:lastModifiedBy>
  <dcterms:modified xsi:type="dcterms:W3CDTF">2024-09-13T14:43:39Z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2023-09-04T11:24:00Z</vt:filetime>
  </property>
  <property fmtid="{D5CDD505-2E9C-101B-9397-08002B2CF9AE}" pid="4" name="KSOProductBuildVer">
    <vt:lpwstr>2052-6.10.1.8873</vt:lpwstr>
  </property>
  <property fmtid="{D5CDD505-2E9C-101B-9397-08002B2CF9AE}" pid="5" name="ICV">
    <vt:lpwstr>7F4A84BDAA004DCDB074CC46E32C508F_13</vt:lpwstr>
  </property>
</Properties>
</file>