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1FFA4">
      <w:pPr>
        <w:spacing w:before="189" w:line="350" w:lineRule="auto"/>
        <w:ind w:left="18" w:leftChars="0" w:right="322" w:hanging="18" w:firstLineChars="0"/>
        <w:jc w:val="center"/>
        <w:rPr>
          <w:rFonts w:ascii="Arial"/>
          <w:sz w:val="21"/>
        </w:rPr>
      </w:pPr>
      <w:r>
        <w:rPr>
          <w:rFonts w:hint="eastAsia" w:ascii="宋体" w:hAnsi="宋体" w:eastAsia="宋体" w:cs="宋体"/>
          <w:b/>
          <w:bCs/>
          <w:sz w:val="30"/>
          <w:szCs w:val="30"/>
        </w:rPr>
        <w:t>第</w:t>
      </w:r>
      <w:r>
        <w:rPr>
          <w:rFonts w:hint="eastAsia" w:ascii="宋体" w:hAnsi="宋体" w:eastAsia="宋体" w:cs="宋体"/>
          <w:b/>
          <w:bCs/>
          <w:sz w:val="30"/>
          <w:szCs w:val="30"/>
          <w:lang w:eastAsia="zh-CN"/>
        </w:rPr>
        <w:t>十五</w:t>
      </w:r>
      <w:r>
        <w:rPr>
          <w:rFonts w:hint="eastAsia" w:ascii="宋体" w:hAnsi="宋体" w:eastAsia="宋体" w:cs="宋体"/>
          <w:b/>
          <w:bCs/>
          <w:sz w:val="30"/>
          <w:szCs w:val="30"/>
        </w:rPr>
        <w:t>届全国大学</w:t>
      </w:r>
      <w:r>
        <w:rPr>
          <w:rFonts w:hint="eastAsia" w:ascii="宋体" w:hAnsi="宋体" w:eastAsia="宋体" w:cs="宋体"/>
          <w:b/>
          <w:bCs/>
          <w:sz w:val="30"/>
          <w:szCs w:val="30"/>
        </w:rPr>
        <w:t>生电子商务“创新、创意及创业”挑战赛校级赛计划书</w:t>
      </w:r>
    </w:p>
    <w:p w14:paraId="7CF2D14A">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一、</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竞赛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r>
        <w:rPr>
          <w:rFonts w:ascii="宋体" w:hAnsi="宋体" w:eastAsia="宋体" w:cs="宋体"/>
          <w:spacing w:val="4"/>
          <w:sz w:val="24"/>
          <w:szCs w:val="24"/>
          <w14:textOutline w14:w="5451" w14:cap="flat" w14:cmpd="sng">
            <w14:solidFill>
              <w14:srgbClr w14:val="000000"/>
            </w14:solidFill>
            <w14:prstDash w14:val="solid"/>
            <w14:miter w14:val="0"/>
          </w14:textOutline>
        </w:rPr>
        <w:t>根据实际情况填写</w:t>
      </w:r>
      <w:r>
        <w:rPr>
          <w:rFonts w:hint="eastAsia" w:ascii="宋体" w:hAnsi="宋体" w:eastAsia="宋体" w:cs="宋体"/>
          <w:spacing w:val="4"/>
          <w:sz w:val="24"/>
          <w:szCs w:val="24"/>
          <w:lang w:eastAsia="zh-CN"/>
          <w14:textOutline w14:w="5451" w14:cap="flat" w14:cmpd="sng">
            <w14:solidFill>
              <w14:srgbClr w14:val="000000"/>
            </w14:solidFill>
            <w14:prstDash w14:val="solid"/>
            <w14:miter w14:val="0"/>
          </w14:textOutline>
        </w:rPr>
        <w:t>）</w:t>
      </w:r>
    </w:p>
    <w:p w14:paraId="3F75FA6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主办单位：全国电子商务产教融合创新联盟、西安交通大学</w:t>
      </w:r>
    </w:p>
    <w:p w14:paraId="2B9878C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承办单位：</w:t>
      </w:r>
    </w:p>
    <w:p w14:paraId="551B2A0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冠名单位：</w:t>
      </w:r>
    </w:p>
    <w:p w14:paraId="1CA7026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协办单位：</w:t>
      </w:r>
    </w:p>
    <w:p w14:paraId="0A058B7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赞助单位：</w:t>
      </w:r>
    </w:p>
    <w:p w14:paraId="3D51FF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二、参赛要求</w:t>
      </w:r>
    </w:p>
    <w:p w14:paraId="1CD6ABD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1.参赛队伍资格见《第十五届全国大学生电子商务“创新、创意及创业”挑战赛竞赛规则》第三章 团队参赛细则</w:t>
      </w:r>
    </w:p>
    <w:p w14:paraId="48274E7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2.参赛作品要求见《第十五届全国大学生电子商务“创新、创意及创业”挑战赛竞赛规则》第三章 团队参赛细则</w:t>
      </w:r>
    </w:p>
    <w:p w14:paraId="1A1B395E">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3.第十五届三创赛的实战赛作为与常规赛同等规范化的赛事，对于参赛团队和参赛项目相同的，被认为是非首次参赛，应该提交项目报告的三个文件，见《规则》第五十二条。</w:t>
      </w:r>
    </w:p>
    <w:p w14:paraId="16EB256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4.对参赛团队和作品的检查。</w:t>
      </w:r>
    </w:p>
    <w:p w14:paraId="3CEE3F9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（1）对参赛团队的合规检查。</w:t>
      </w:r>
    </w:p>
    <w:p w14:paraId="710A4A9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（2）对参赛团队的《项目报告书》的合规检查。</w:t>
      </w:r>
    </w:p>
    <w:p w14:paraId="1C743FA3">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对校赛所有参赛团队和《项目报告书》必须按照大赛规则进行合规检查，对不合规者不允许参赛。否则产生的后果将由校赛组委会负责。</w:t>
      </w:r>
    </w:p>
    <w:p w14:paraId="3E681CAC">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三、竞赛实施细则</w:t>
      </w:r>
    </w:p>
    <w:p w14:paraId="5D2701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1.对校赛的评委采取双向选择，见《第十五届全国大学生电子商务“创新、创意及创业”挑战赛竞赛规则》第十七条。</w:t>
      </w:r>
    </w:p>
    <w:p w14:paraId="18866A00">
      <w:pPr>
        <w:spacing w:before="78" w:line="361" w:lineRule="auto"/>
        <w:ind w:left="24" w:firstLine="483"/>
        <w:rPr>
          <w:rFonts w:hint="eastAsia" w:ascii="宋体" w:hAnsi="宋体" w:eastAsia="宋体" w:cs="宋体"/>
          <w:spacing w:val="-5"/>
          <w:sz w:val="24"/>
          <w:szCs w:val="24"/>
          <w:lang w:val="en-US" w:eastAsia="zh-CN"/>
        </w:rPr>
      </w:pPr>
    </w:p>
    <w:p w14:paraId="207171F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2.竞赛时间、地点：</w:t>
      </w:r>
    </w:p>
    <w:p w14:paraId="7D31C784">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3.线上或线下答辩安排（如无特殊情况，均在线下举行）</w:t>
      </w:r>
    </w:p>
    <w:p w14:paraId="230F86B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4.答辩要求见《第十五届全国大学生电子商务“创新、创意及创业”挑战赛竞赛规则》第十六条</w:t>
      </w:r>
    </w:p>
    <w:p w14:paraId="1D9A1878">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四、评分标准</w:t>
      </w:r>
    </w:p>
    <w:p w14:paraId="5A58677D">
      <w:pPr>
        <w:spacing w:before="135" w:line="219" w:lineRule="auto"/>
        <w:ind w:left="508"/>
        <w:rPr>
          <w:rFonts w:ascii="宋体" w:hAnsi="宋体" w:eastAsia="宋体" w:cs="宋体"/>
          <w:sz w:val="24"/>
          <w:szCs w:val="24"/>
        </w:rPr>
      </w:pPr>
      <w:r>
        <w:rPr>
          <w:rFonts w:ascii="宋体" w:hAnsi="宋体" w:eastAsia="宋体" w:cs="宋体"/>
          <w:spacing w:val="6"/>
          <w:sz w:val="24"/>
          <w:szCs w:val="24"/>
        </w:rPr>
        <w:t>竞赛评分细则</w:t>
      </w:r>
      <w:r>
        <w:rPr>
          <w:rFonts w:hint="eastAsia" w:ascii="宋体" w:hAnsi="宋体" w:eastAsia="宋体" w:cs="宋体"/>
          <w:spacing w:val="6"/>
          <w:sz w:val="24"/>
          <w:szCs w:val="24"/>
          <w:lang w:eastAsia="zh-CN"/>
        </w:rPr>
        <w:t>（</w:t>
      </w:r>
      <w:r>
        <w:rPr>
          <w:rFonts w:ascii="宋体" w:hAnsi="宋体" w:eastAsia="宋体" w:cs="宋体"/>
          <w:spacing w:val="6"/>
          <w:sz w:val="24"/>
          <w:szCs w:val="24"/>
        </w:rPr>
        <w:t>详见大赛规则第四章</w:t>
      </w:r>
      <w:r>
        <w:rPr>
          <w:rFonts w:hint="eastAsia" w:ascii="宋体" w:hAnsi="宋体" w:eastAsia="宋体" w:cs="宋体"/>
          <w:spacing w:val="6"/>
          <w:sz w:val="24"/>
          <w:szCs w:val="24"/>
          <w:lang w:eastAsia="zh-CN"/>
        </w:rPr>
        <w:t>）</w:t>
      </w:r>
    </w:p>
    <w:p w14:paraId="2ADFB77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五、评审程序与评分规则</w:t>
      </w:r>
    </w:p>
    <w:p w14:paraId="2CB8CA8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1.评审程序（详见大赛规则第十六条至第十七条）</w:t>
      </w:r>
    </w:p>
    <w:p w14:paraId="771B13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2.评分规则（详见大赛规则第二十五条）</w:t>
      </w:r>
    </w:p>
    <w:p w14:paraId="4A3FBAC2">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六、评审专家</w:t>
      </w:r>
    </w:p>
    <w:p w14:paraId="4BCB2CFC">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1.评审专家设置（详见大赛规则第十八条至第二十三条）</w:t>
      </w:r>
    </w:p>
    <w:p w14:paraId="3ACBAF50">
      <w:pPr>
        <w:spacing w:line="103" w:lineRule="exact"/>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5971CD31">
        <w:trPr>
          <w:trHeight w:val="332" w:hRule="atLeast"/>
        </w:trPr>
        <w:tc>
          <w:tcPr>
            <w:tcW w:w="2121" w:type="dxa"/>
            <w:gridSpan w:val="2"/>
            <w:tcBorders>
              <w:top w:val="single" w:color="000000" w:sz="2" w:space="0"/>
              <w:bottom w:val="single" w:color="000000" w:sz="2" w:space="0"/>
            </w:tcBorders>
            <w:vAlign w:val="top"/>
          </w:tcPr>
          <w:p w14:paraId="54F536E3">
            <w:pPr>
              <w:spacing w:before="44" w:line="215" w:lineRule="auto"/>
              <w:ind w:left="581"/>
              <w:rPr>
                <w:rFonts w:ascii="楷体" w:hAnsi="楷体" w:eastAsia="楷体" w:cs="楷体"/>
                <w:sz w:val="24"/>
                <w:szCs w:val="24"/>
              </w:rPr>
            </w:pPr>
            <w:r>
              <w:rPr>
                <w:rFonts w:ascii="楷体" w:hAnsi="楷体" w:eastAsia="楷体" w:cs="楷体"/>
                <w:spacing w:val="-2"/>
                <w:sz w:val="24"/>
                <w:szCs w:val="24"/>
              </w:rPr>
              <w:t>评审小组</w:t>
            </w:r>
          </w:p>
        </w:tc>
        <w:tc>
          <w:tcPr>
            <w:tcW w:w="1424" w:type="dxa"/>
            <w:tcBorders>
              <w:top w:val="single" w:color="000000" w:sz="2" w:space="0"/>
              <w:bottom w:val="single" w:color="000000" w:sz="2" w:space="0"/>
            </w:tcBorders>
            <w:vAlign w:val="top"/>
          </w:tcPr>
          <w:p w14:paraId="55D1FAA3">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44" w:type="dxa"/>
            <w:tcBorders>
              <w:top w:val="single" w:color="000000" w:sz="2" w:space="0"/>
              <w:bottom w:val="single" w:color="000000" w:sz="2" w:space="0"/>
            </w:tcBorders>
            <w:vAlign w:val="top"/>
          </w:tcPr>
          <w:p w14:paraId="60821479">
            <w:pPr>
              <w:spacing w:before="44" w:line="217" w:lineRule="auto"/>
              <w:ind w:left="1185"/>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14:paraId="122BA923">
        <w:trPr>
          <w:trHeight w:val="310" w:hRule="atLeast"/>
        </w:trPr>
        <w:tc>
          <w:tcPr>
            <w:tcW w:w="1267" w:type="dxa"/>
            <w:vMerge w:val="restart"/>
            <w:tcBorders>
              <w:top w:val="single" w:color="000000" w:sz="2" w:space="0"/>
              <w:bottom w:val="nil"/>
            </w:tcBorders>
            <w:vAlign w:val="top"/>
          </w:tcPr>
          <w:p w14:paraId="538A4596">
            <w:pPr>
              <w:spacing w:before="187" w:line="224" w:lineRule="auto"/>
              <w:ind w:left="289"/>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14:paraId="592C2E64">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886D722">
            <w:pPr>
              <w:rPr>
                <w:rFonts w:ascii="Arial"/>
                <w:sz w:val="21"/>
              </w:rPr>
            </w:pPr>
          </w:p>
        </w:tc>
        <w:tc>
          <w:tcPr>
            <w:tcW w:w="3544" w:type="dxa"/>
            <w:tcBorders>
              <w:top w:val="single" w:color="000000" w:sz="2" w:space="0"/>
              <w:bottom w:val="single" w:color="000000" w:sz="2" w:space="0"/>
            </w:tcBorders>
            <w:vAlign w:val="top"/>
          </w:tcPr>
          <w:p w14:paraId="75E6C7C9">
            <w:pPr>
              <w:rPr>
                <w:rFonts w:ascii="Arial"/>
                <w:sz w:val="21"/>
              </w:rPr>
            </w:pPr>
          </w:p>
        </w:tc>
      </w:tr>
      <w:tr w14:paraId="1637085D">
        <w:trPr>
          <w:trHeight w:val="324" w:hRule="atLeast"/>
        </w:trPr>
        <w:tc>
          <w:tcPr>
            <w:tcW w:w="1267" w:type="dxa"/>
            <w:vMerge w:val="continue"/>
            <w:tcBorders>
              <w:top w:val="nil"/>
              <w:bottom w:val="single" w:color="000000" w:sz="2" w:space="0"/>
            </w:tcBorders>
            <w:vAlign w:val="top"/>
          </w:tcPr>
          <w:p w14:paraId="007A7342">
            <w:pPr>
              <w:rPr>
                <w:rFonts w:ascii="Arial"/>
                <w:sz w:val="21"/>
              </w:rPr>
            </w:pPr>
          </w:p>
        </w:tc>
        <w:tc>
          <w:tcPr>
            <w:tcW w:w="854" w:type="dxa"/>
            <w:tcBorders>
              <w:top w:val="single" w:color="000000" w:sz="2" w:space="0"/>
              <w:bottom w:val="single" w:color="000000" w:sz="2" w:space="0"/>
            </w:tcBorders>
            <w:vAlign w:val="top"/>
          </w:tcPr>
          <w:p w14:paraId="7EBE5864">
            <w:pPr>
              <w:spacing w:before="37"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3D408EDF">
            <w:pPr>
              <w:rPr>
                <w:rFonts w:ascii="Arial"/>
                <w:sz w:val="21"/>
              </w:rPr>
            </w:pPr>
          </w:p>
        </w:tc>
        <w:tc>
          <w:tcPr>
            <w:tcW w:w="3544" w:type="dxa"/>
            <w:tcBorders>
              <w:top w:val="single" w:color="000000" w:sz="2" w:space="0"/>
              <w:bottom w:val="single" w:color="000000" w:sz="2" w:space="0"/>
            </w:tcBorders>
            <w:vAlign w:val="top"/>
          </w:tcPr>
          <w:p w14:paraId="02149461">
            <w:pPr>
              <w:rPr>
                <w:rFonts w:ascii="Arial"/>
                <w:sz w:val="21"/>
              </w:rPr>
            </w:pPr>
          </w:p>
        </w:tc>
      </w:tr>
      <w:tr w14:paraId="116941AF">
        <w:trPr>
          <w:trHeight w:val="310" w:hRule="atLeast"/>
        </w:trPr>
        <w:tc>
          <w:tcPr>
            <w:tcW w:w="1267" w:type="dxa"/>
            <w:vMerge w:val="restart"/>
            <w:tcBorders>
              <w:top w:val="single" w:color="000000" w:sz="2" w:space="0"/>
              <w:bottom w:val="nil"/>
            </w:tcBorders>
            <w:vAlign w:val="top"/>
          </w:tcPr>
          <w:p w14:paraId="61528D74">
            <w:pPr>
              <w:spacing w:before="188" w:line="216" w:lineRule="auto"/>
              <w:ind w:left="283"/>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14:paraId="4636FADC">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4CE36F4C">
            <w:pPr>
              <w:rPr>
                <w:rFonts w:ascii="Arial"/>
                <w:sz w:val="21"/>
              </w:rPr>
            </w:pPr>
          </w:p>
        </w:tc>
        <w:tc>
          <w:tcPr>
            <w:tcW w:w="3544" w:type="dxa"/>
            <w:tcBorders>
              <w:top w:val="single" w:color="000000" w:sz="2" w:space="0"/>
              <w:bottom w:val="single" w:color="000000" w:sz="2" w:space="0"/>
            </w:tcBorders>
            <w:vAlign w:val="top"/>
          </w:tcPr>
          <w:p w14:paraId="19FB4822">
            <w:pPr>
              <w:rPr>
                <w:rFonts w:ascii="Arial"/>
                <w:sz w:val="21"/>
              </w:rPr>
            </w:pPr>
          </w:p>
        </w:tc>
      </w:tr>
      <w:tr w14:paraId="4C589223">
        <w:trPr>
          <w:trHeight w:val="325" w:hRule="atLeast"/>
        </w:trPr>
        <w:tc>
          <w:tcPr>
            <w:tcW w:w="1267" w:type="dxa"/>
            <w:vMerge w:val="continue"/>
            <w:tcBorders>
              <w:top w:val="nil"/>
              <w:bottom w:val="single" w:color="000000" w:sz="2" w:space="0"/>
            </w:tcBorders>
            <w:vAlign w:val="top"/>
          </w:tcPr>
          <w:p w14:paraId="659DFCFC">
            <w:pPr>
              <w:rPr>
                <w:rFonts w:ascii="Arial"/>
                <w:sz w:val="21"/>
              </w:rPr>
            </w:pPr>
          </w:p>
        </w:tc>
        <w:tc>
          <w:tcPr>
            <w:tcW w:w="854" w:type="dxa"/>
            <w:tcBorders>
              <w:top w:val="single" w:color="000000" w:sz="2" w:space="0"/>
              <w:bottom w:val="single" w:color="000000" w:sz="2" w:space="0"/>
            </w:tcBorders>
            <w:vAlign w:val="top"/>
          </w:tcPr>
          <w:p w14:paraId="52EE67D6">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4C842F17">
            <w:pPr>
              <w:rPr>
                <w:rFonts w:ascii="Arial"/>
                <w:sz w:val="21"/>
              </w:rPr>
            </w:pPr>
          </w:p>
        </w:tc>
        <w:tc>
          <w:tcPr>
            <w:tcW w:w="3544" w:type="dxa"/>
            <w:tcBorders>
              <w:top w:val="single" w:color="000000" w:sz="2" w:space="0"/>
              <w:bottom w:val="single" w:color="000000" w:sz="2" w:space="0"/>
            </w:tcBorders>
            <w:vAlign w:val="top"/>
          </w:tcPr>
          <w:p w14:paraId="5EC5103D">
            <w:pPr>
              <w:rPr>
                <w:rFonts w:ascii="Arial"/>
                <w:sz w:val="21"/>
              </w:rPr>
            </w:pPr>
          </w:p>
        </w:tc>
      </w:tr>
      <w:tr w14:paraId="0CFCDB7A">
        <w:trPr>
          <w:trHeight w:val="310" w:hRule="atLeast"/>
        </w:trPr>
        <w:tc>
          <w:tcPr>
            <w:tcW w:w="1267" w:type="dxa"/>
            <w:vMerge w:val="restart"/>
            <w:tcBorders>
              <w:top w:val="single" w:color="000000" w:sz="2" w:space="0"/>
              <w:bottom w:val="nil"/>
            </w:tcBorders>
            <w:vAlign w:val="top"/>
          </w:tcPr>
          <w:p w14:paraId="5D712240">
            <w:pPr>
              <w:spacing w:line="293" w:lineRule="auto"/>
              <w:rPr>
                <w:rFonts w:ascii="Arial"/>
                <w:sz w:val="21"/>
              </w:rPr>
            </w:pPr>
          </w:p>
          <w:p w14:paraId="503E4F1D">
            <w:pPr>
              <w:spacing w:line="294" w:lineRule="auto"/>
              <w:rPr>
                <w:rFonts w:ascii="Arial"/>
                <w:sz w:val="21"/>
              </w:rPr>
            </w:pPr>
          </w:p>
          <w:p w14:paraId="12F978EC">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14:paraId="6E4A3925">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3BD4647E">
            <w:pPr>
              <w:rPr>
                <w:rFonts w:ascii="Arial"/>
                <w:sz w:val="21"/>
              </w:rPr>
            </w:pPr>
          </w:p>
        </w:tc>
        <w:tc>
          <w:tcPr>
            <w:tcW w:w="3544" w:type="dxa"/>
            <w:tcBorders>
              <w:top w:val="single" w:color="000000" w:sz="2" w:space="0"/>
              <w:bottom w:val="single" w:color="000000" w:sz="2" w:space="0"/>
            </w:tcBorders>
            <w:vAlign w:val="top"/>
          </w:tcPr>
          <w:p w14:paraId="20613745">
            <w:pPr>
              <w:rPr>
                <w:rFonts w:ascii="Arial"/>
                <w:sz w:val="21"/>
              </w:rPr>
            </w:pPr>
          </w:p>
        </w:tc>
      </w:tr>
      <w:tr w14:paraId="4438B3A5">
        <w:trPr>
          <w:trHeight w:val="325" w:hRule="atLeast"/>
        </w:trPr>
        <w:tc>
          <w:tcPr>
            <w:tcW w:w="1267" w:type="dxa"/>
            <w:vMerge w:val="continue"/>
            <w:tcBorders>
              <w:top w:val="nil"/>
              <w:bottom w:val="nil"/>
            </w:tcBorders>
            <w:vAlign w:val="top"/>
          </w:tcPr>
          <w:p w14:paraId="5B432914">
            <w:pPr>
              <w:rPr>
                <w:rFonts w:ascii="Arial"/>
                <w:sz w:val="21"/>
              </w:rPr>
            </w:pPr>
          </w:p>
        </w:tc>
        <w:tc>
          <w:tcPr>
            <w:tcW w:w="854" w:type="dxa"/>
            <w:vMerge w:val="restart"/>
            <w:tcBorders>
              <w:top w:val="single" w:color="000000" w:sz="2" w:space="0"/>
              <w:bottom w:val="nil"/>
            </w:tcBorders>
            <w:vAlign w:val="top"/>
          </w:tcPr>
          <w:p w14:paraId="4628591C">
            <w:pPr>
              <w:spacing w:line="438" w:lineRule="auto"/>
              <w:rPr>
                <w:rFonts w:ascii="Arial"/>
                <w:sz w:val="21"/>
              </w:rPr>
            </w:pPr>
          </w:p>
          <w:p w14:paraId="078A4205">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1C8F02C2">
            <w:pPr>
              <w:rPr>
                <w:rFonts w:ascii="Arial"/>
                <w:sz w:val="21"/>
              </w:rPr>
            </w:pPr>
          </w:p>
        </w:tc>
        <w:tc>
          <w:tcPr>
            <w:tcW w:w="3544" w:type="dxa"/>
            <w:tcBorders>
              <w:top w:val="single" w:color="000000" w:sz="2" w:space="0"/>
              <w:bottom w:val="single" w:color="000000" w:sz="2" w:space="0"/>
            </w:tcBorders>
            <w:vAlign w:val="top"/>
          </w:tcPr>
          <w:p w14:paraId="545F578B">
            <w:pPr>
              <w:rPr>
                <w:rFonts w:ascii="Arial"/>
                <w:sz w:val="21"/>
              </w:rPr>
            </w:pPr>
          </w:p>
        </w:tc>
      </w:tr>
      <w:tr w14:paraId="0A90C04D">
        <w:trPr>
          <w:trHeight w:val="310" w:hRule="atLeast"/>
        </w:trPr>
        <w:tc>
          <w:tcPr>
            <w:tcW w:w="1267" w:type="dxa"/>
            <w:vMerge w:val="continue"/>
            <w:tcBorders>
              <w:top w:val="nil"/>
              <w:bottom w:val="nil"/>
            </w:tcBorders>
            <w:vAlign w:val="top"/>
          </w:tcPr>
          <w:p w14:paraId="1A12DF47">
            <w:pPr>
              <w:rPr>
                <w:rFonts w:ascii="Arial"/>
                <w:sz w:val="21"/>
              </w:rPr>
            </w:pPr>
          </w:p>
        </w:tc>
        <w:tc>
          <w:tcPr>
            <w:tcW w:w="854" w:type="dxa"/>
            <w:vMerge w:val="continue"/>
            <w:tcBorders>
              <w:top w:val="nil"/>
              <w:bottom w:val="nil"/>
            </w:tcBorders>
            <w:vAlign w:val="top"/>
          </w:tcPr>
          <w:p w14:paraId="0FB4294B">
            <w:pPr>
              <w:rPr>
                <w:rFonts w:ascii="Arial"/>
                <w:sz w:val="21"/>
              </w:rPr>
            </w:pPr>
          </w:p>
        </w:tc>
        <w:tc>
          <w:tcPr>
            <w:tcW w:w="1424" w:type="dxa"/>
            <w:tcBorders>
              <w:top w:val="single" w:color="000000" w:sz="2" w:space="0"/>
              <w:bottom w:val="single" w:color="000000" w:sz="2" w:space="0"/>
            </w:tcBorders>
            <w:vAlign w:val="top"/>
          </w:tcPr>
          <w:p w14:paraId="702474CF">
            <w:pPr>
              <w:rPr>
                <w:rFonts w:ascii="Arial"/>
                <w:sz w:val="21"/>
              </w:rPr>
            </w:pPr>
          </w:p>
        </w:tc>
        <w:tc>
          <w:tcPr>
            <w:tcW w:w="3544" w:type="dxa"/>
            <w:tcBorders>
              <w:top w:val="single" w:color="000000" w:sz="2" w:space="0"/>
              <w:bottom w:val="single" w:color="000000" w:sz="2" w:space="0"/>
            </w:tcBorders>
            <w:vAlign w:val="top"/>
          </w:tcPr>
          <w:p w14:paraId="1ECB964D">
            <w:pPr>
              <w:rPr>
                <w:rFonts w:ascii="Arial"/>
                <w:sz w:val="21"/>
              </w:rPr>
            </w:pPr>
          </w:p>
        </w:tc>
      </w:tr>
      <w:tr w14:paraId="4AE381E4">
        <w:trPr>
          <w:trHeight w:val="325" w:hRule="atLeast"/>
        </w:trPr>
        <w:tc>
          <w:tcPr>
            <w:tcW w:w="1267" w:type="dxa"/>
            <w:vMerge w:val="continue"/>
            <w:tcBorders>
              <w:top w:val="nil"/>
              <w:bottom w:val="nil"/>
            </w:tcBorders>
            <w:vAlign w:val="top"/>
          </w:tcPr>
          <w:p w14:paraId="0D4BDB91">
            <w:pPr>
              <w:rPr>
                <w:rFonts w:ascii="Arial"/>
                <w:sz w:val="21"/>
              </w:rPr>
            </w:pPr>
          </w:p>
        </w:tc>
        <w:tc>
          <w:tcPr>
            <w:tcW w:w="854" w:type="dxa"/>
            <w:vMerge w:val="continue"/>
            <w:tcBorders>
              <w:top w:val="nil"/>
              <w:bottom w:val="nil"/>
            </w:tcBorders>
            <w:vAlign w:val="top"/>
          </w:tcPr>
          <w:p w14:paraId="55597D3C">
            <w:pPr>
              <w:rPr>
                <w:rFonts w:ascii="Arial"/>
                <w:sz w:val="21"/>
              </w:rPr>
            </w:pPr>
          </w:p>
        </w:tc>
        <w:tc>
          <w:tcPr>
            <w:tcW w:w="1424" w:type="dxa"/>
            <w:tcBorders>
              <w:top w:val="single" w:color="000000" w:sz="2" w:space="0"/>
              <w:bottom w:val="single" w:color="000000" w:sz="2" w:space="0"/>
            </w:tcBorders>
            <w:vAlign w:val="top"/>
          </w:tcPr>
          <w:p w14:paraId="5ECB6FC1">
            <w:pPr>
              <w:rPr>
                <w:rFonts w:ascii="Arial"/>
                <w:sz w:val="21"/>
              </w:rPr>
            </w:pPr>
          </w:p>
        </w:tc>
        <w:tc>
          <w:tcPr>
            <w:tcW w:w="3544" w:type="dxa"/>
            <w:tcBorders>
              <w:top w:val="single" w:color="000000" w:sz="2" w:space="0"/>
              <w:bottom w:val="single" w:color="000000" w:sz="2" w:space="0"/>
            </w:tcBorders>
            <w:vAlign w:val="top"/>
          </w:tcPr>
          <w:p w14:paraId="1C6082E0">
            <w:pPr>
              <w:rPr>
                <w:rFonts w:ascii="Arial"/>
                <w:sz w:val="21"/>
              </w:rPr>
            </w:pPr>
          </w:p>
        </w:tc>
      </w:tr>
      <w:tr w14:paraId="6BAF8973">
        <w:trPr>
          <w:trHeight w:val="310" w:hRule="atLeast"/>
        </w:trPr>
        <w:tc>
          <w:tcPr>
            <w:tcW w:w="1267" w:type="dxa"/>
            <w:vMerge w:val="continue"/>
            <w:tcBorders>
              <w:top w:val="nil"/>
              <w:bottom w:val="single" w:color="000000" w:sz="2" w:space="0"/>
            </w:tcBorders>
            <w:vAlign w:val="top"/>
          </w:tcPr>
          <w:p w14:paraId="54019631">
            <w:pPr>
              <w:rPr>
                <w:rFonts w:ascii="Arial"/>
                <w:sz w:val="21"/>
              </w:rPr>
            </w:pPr>
          </w:p>
        </w:tc>
        <w:tc>
          <w:tcPr>
            <w:tcW w:w="854" w:type="dxa"/>
            <w:vMerge w:val="continue"/>
            <w:tcBorders>
              <w:top w:val="nil"/>
              <w:bottom w:val="single" w:color="000000" w:sz="2" w:space="0"/>
            </w:tcBorders>
            <w:vAlign w:val="top"/>
          </w:tcPr>
          <w:p w14:paraId="0D8741E8">
            <w:pPr>
              <w:rPr>
                <w:rFonts w:ascii="Arial"/>
                <w:sz w:val="21"/>
              </w:rPr>
            </w:pPr>
          </w:p>
        </w:tc>
        <w:tc>
          <w:tcPr>
            <w:tcW w:w="1424" w:type="dxa"/>
            <w:tcBorders>
              <w:top w:val="single" w:color="000000" w:sz="2" w:space="0"/>
              <w:bottom w:val="single" w:color="000000" w:sz="2" w:space="0"/>
            </w:tcBorders>
            <w:vAlign w:val="top"/>
          </w:tcPr>
          <w:p w14:paraId="6CAFAB48">
            <w:pPr>
              <w:rPr>
                <w:rFonts w:ascii="Arial"/>
                <w:sz w:val="21"/>
              </w:rPr>
            </w:pPr>
          </w:p>
        </w:tc>
        <w:tc>
          <w:tcPr>
            <w:tcW w:w="3544" w:type="dxa"/>
            <w:tcBorders>
              <w:top w:val="single" w:color="000000" w:sz="2" w:space="0"/>
              <w:bottom w:val="single" w:color="000000" w:sz="2" w:space="0"/>
            </w:tcBorders>
            <w:vAlign w:val="top"/>
          </w:tcPr>
          <w:p w14:paraId="6B4D780B">
            <w:pPr>
              <w:rPr>
                <w:rFonts w:ascii="Arial"/>
                <w:sz w:val="21"/>
              </w:rPr>
            </w:pPr>
          </w:p>
        </w:tc>
      </w:tr>
      <w:tr w14:paraId="3718F7F5">
        <w:trPr>
          <w:trHeight w:val="325" w:hRule="atLeast"/>
        </w:trPr>
        <w:tc>
          <w:tcPr>
            <w:tcW w:w="1267" w:type="dxa"/>
            <w:vMerge w:val="restart"/>
            <w:tcBorders>
              <w:top w:val="single" w:color="000000" w:sz="2" w:space="0"/>
              <w:bottom w:val="nil"/>
            </w:tcBorders>
            <w:vAlign w:val="top"/>
          </w:tcPr>
          <w:p w14:paraId="21256381">
            <w:pPr>
              <w:spacing w:line="275" w:lineRule="auto"/>
              <w:rPr>
                <w:rFonts w:ascii="Arial"/>
                <w:sz w:val="21"/>
              </w:rPr>
            </w:pPr>
          </w:p>
          <w:p w14:paraId="16C8E9EB">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14:paraId="5151DF2C">
            <w:pPr>
              <w:spacing w:before="40"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14:paraId="7EF67739">
            <w:pPr>
              <w:rPr>
                <w:rFonts w:ascii="Arial"/>
                <w:sz w:val="21"/>
              </w:rPr>
            </w:pPr>
          </w:p>
        </w:tc>
        <w:tc>
          <w:tcPr>
            <w:tcW w:w="3544" w:type="dxa"/>
            <w:tcBorders>
              <w:top w:val="single" w:color="000000" w:sz="2" w:space="0"/>
              <w:bottom w:val="single" w:color="000000" w:sz="2" w:space="0"/>
            </w:tcBorders>
            <w:vAlign w:val="top"/>
          </w:tcPr>
          <w:p w14:paraId="4504B670">
            <w:pPr>
              <w:rPr>
                <w:rFonts w:ascii="Arial"/>
                <w:sz w:val="21"/>
              </w:rPr>
            </w:pPr>
          </w:p>
        </w:tc>
      </w:tr>
      <w:tr w14:paraId="0AC09E2F">
        <w:trPr>
          <w:trHeight w:val="310" w:hRule="atLeast"/>
        </w:trPr>
        <w:tc>
          <w:tcPr>
            <w:tcW w:w="1267" w:type="dxa"/>
            <w:vMerge w:val="continue"/>
            <w:tcBorders>
              <w:top w:val="nil"/>
              <w:bottom w:val="nil"/>
            </w:tcBorders>
            <w:vAlign w:val="top"/>
          </w:tcPr>
          <w:p w14:paraId="0CAFFC6D">
            <w:pPr>
              <w:rPr>
                <w:rFonts w:ascii="Arial"/>
                <w:sz w:val="21"/>
              </w:rPr>
            </w:pPr>
          </w:p>
        </w:tc>
        <w:tc>
          <w:tcPr>
            <w:tcW w:w="854" w:type="dxa"/>
            <w:vMerge w:val="restart"/>
            <w:tcBorders>
              <w:top w:val="single" w:color="000000" w:sz="2" w:space="0"/>
              <w:bottom w:val="nil"/>
            </w:tcBorders>
            <w:vAlign w:val="top"/>
          </w:tcPr>
          <w:p w14:paraId="76096FF0">
            <w:pPr>
              <w:spacing w:before="191"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14:paraId="2301C0A5">
            <w:pPr>
              <w:rPr>
                <w:rFonts w:ascii="Arial"/>
                <w:sz w:val="21"/>
              </w:rPr>
            </w:pPr>
          </w:p>
        </w:tc>
        <w:tc>
          <w:tcPr>
            <w:tcW w:w="3544" w:type="dxa"/>
            <w:tcBorders>
              <w:top w:val="single" w:color="000000" w:sz="2" w:space="0"/>
              <w:bottom w:val="single" w:color="000000" w:sz="2" w:space="0"/>
            </w:tcBorders>
            <w:vAlign w:val="top"/>
          </w:tcPr>
          <w:p w14:paraId="6D8C4F7E">
            <w:pPr>
              <w:rPr>
                <w:rFonts w:ascii="Arial"/>
                <w:sz w:val="21"/>
              </w:rPr>
            </w:pPr>
          </w:p>
        </w:tc>
      </w:tr>
      <w:tr w14:paraId="31CB8DBE">
        <w:trPr>
          <w:trHeight w:val="317" w:hRule="atLeast"/>
        </w:trPr>
        <w:tc>
          <w:tcPr>
            <w:tcW w:w="1267" w:type="dxa"/>
            <w:vMerge w:val="continue"/>
            <w:tcBorders>
              <w:top w:val="nil"/>
              <w:bottom w:val="single" w:color="000000" w:sz="2" w:space="0"/>
            </w:tcBorders>
            <w:vAlign w:val="top"/>
          </w:tcPr>
          <w:p w14:paraId="01997074">
            <w:pPr>
              <w:rPr>
                <w:rFonts w:ascii="Arial"/>
                <w:sz w:val="21"/>
              </w:rPr>
            </w:pPr>
          </w:p>
        </w:tc>
        <w:tc>
          <w:tcPr>
            <w:tcW w:w="854" w:type="dxa"/>
            <w:vMerge w:val="continue"/>
            <w:tcBorders>
              <w:top w:val="nil"/>
              <w:bottom w:val="single" w:color="000000" w:sz="2" w:space="0"/>
            </w:tcBorders>
            <w:vAlign w:val="top"/>
          </w:tcPr>
          <w:p w14:paraId="3C81E485">
            <w:pPr>
              <w:rPr>
                <w:rFonts w:ascii="Arial"/>
                <w:sz w:val="21"/>
              </w:rPr>
            </w:pPr>
          </w:p>
        </w:tc>
        <w:tc>
          <w:tcPr>
            <w:tcW w:w="1424" w:type="dxa"/>
            <w:tcBorders>
              <w:top w:val="single" w:color="000000" w:sz="2" w:space="0"/>
              <w:bottom w:val="single" w:color="000000" w:sz="2" w:space="0"/>
            </w:tcBorders>
            <w:vAlign w:val="top"/>
          </w:tcPr>
          <w:p w14:paraId="7B87AE88">
            <w:pPr>
              <w:rPr>
                <w:rFonts w:ascii="Arial"/>
                <w:sz w:val="21"/>
              </w:rPr>
            </w:pPr>
          </w:p>
        </w:tc>
        <w:tc>
          <w:tcPr>
            <w:tcW w:w="3544" w:type="dxa"/>
            <w:tcBorders>
              <w:top w:val="single" w:color="000000" w:sz="2" w:space="0"/>
              <w:bottom w:val="single" w:color="000000" w:sz="2" w:space="0"/>
            </w:tcBorders>
            <w:vAlign w:val="top"/>
          </w:tcPr>
          <w:p w14:paraId="5CB099E1">
            <w:pPr>
              <w:rPr>
                <w:rFonts w:ascii="Arial"/>
                <w:sz w:val="21"/>
              </w:rPr>
            </w:pPr>
          </w:p>
        </w:tc>
      </w:tr>
    </w:tbl>
    <w:p w14:paraId="2B033830">
      <w:pPr>
        <w:spacing w:line="102" w:lineRule="auto"/>
        <w:rPr>
          <w:rFonts w:ascii="Arial"/>
          <w:sz w:val="2"/>
        </w:rPr>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14:paraId="39BBD53B">
        <w:trPr>
          <w:trHeight w:val="315" w:hRule="atLeast"/>
        </w:trPr>
        <w:tc>
          <w:tcPr>
            <w:tcW w:w="1267" w:type="dxa"/>
            <w:vMerge w:val="restart"/>
            <w:tcBorders>
              <w:top w:val="single" w:color="000000" w:sz="2" w:space="0"/>
              <w:bottom w:val="nil"/>
            </w:tcBorders>
            <w:vAlign w:val="top"/>
          </w:tcPr>
          <w:p w14:paraId="6D5FD118">
            <w:pPr>
              <w:rPr>
                <w:rFonts w:ascii="Arial"/>
                <w:sz w:val="21"/>
              </w:rPr>
            </w:pPr>
          </w:p>
        </w:tc>
        <w:tc>
          <w:tcPr>
            <w:tcW w:w="854" w:type="dxa"/>
            <w:vMerge w:val="restart"/>
            <w:tcBorders>
              <w:top w:val="single" w:color="000000" w:sz="2" w:space="0"/>
              <w:bottom w:val="nil"/>
            </w:tcBorders>
            <w:vAlign w:val="top"/>
          </w:tcPr>
          <w:p w14:paraId="7D7D1EA9">
            <w:pPr>
              <w:rPr>
                <w:rFonts w:ascii="Arial"/>
                <w:sz w:val="21"/>
              </w:rPr>
            </w:pPr>
          </w:p>
        </w:tc>
        <w:tc>
          <w:tcPr>
            <w:tcW w:w="1424" w:type="dxa"/>
            <w:tcBorders>
              <w:top w:val="single" w:color="000000" w:sz="2" w:space="0"/>
              <w:bottom w:val="single" w:color="000000" w:sz="2" w:space="0"/>
            </w:tcBorders>
            <w:vAlign w:val="top"/>
          </w:tcPr>
          <w:p w14:paraId="594D0A2A">
            <w:pPr>
              <w:rPr>
                <w:rFonts w:ascii="Arial"/>
                <w:sz w:val="21"/>
              </w:rPr>
            </w:pPr>
          </w:p>
        </w:tc>
        <w:tc>
          <w:tcPr>
            <w:tcW w:w="3544" w:type="dxa"/>
            <w:tcBorders>
              <w:top w:val="single" w:color="000000" w:sz="2" w:space="0"/>
              <w:bottom w:val="single" w:color="000000" w:sz="2" w:space="0"/>
            </w:tcBorders>
            <w:vAlign w:val="top"/>
          </w:tcPr>
          <w:p w14:paraId="7D25A2E1">
            <w:pPr>
              <w:rPr>
                <w:rFonts w:ascii="Arial"/>
                <w:sz w:val="21"/>
              </w:rPr>
            </w:pPr>
          </w:p>
        </w:tc>
      </w:tr>
      <w:tr w14:paraId="36848757">
        <w:trPr>
          <w:trHeight w:val="330" w:hRule="atLeast"/>
        </w:trPr>
        <w:tc>
          <w:tcPr>
            <w:tcW w:w="1267" w:type="dxa"/>
            <w:vMerge w:val="continue"/>
            <w:tcBorders>
              <w:top w:val="nil"/>
              <w:bottom w:val="single" w:color="000000" w:sz="2" w:space="0"/>
            </w:tcBorders>
            <w:vAlign w:val="top"/>
          </w:tcPr>
          <w:p w14:paraId="1F26A58A">
            <w:pPr>
              <w:rPr>
                <w:rFonts w:ascii="Arial"/>
                <w:sz w:val="21"/>
              </w:rPr>
            </w:pPr>
          </w:p>
        </w:tc>
        <w:tc>
          <w:tcPr>
            <w:tcW w:w="854" w:type="dxa"/>
            <w:vMerge w:val="continue"/>
            <w:tcBorders>
              <w:top w:val="nil"/>
              <w:bottom w:val="single" w:color="000000" w:sz="2" w:space="0"/>
            </w:tcBorders>
            <w:vAlign w:val="top"/>
          </w:tcPr>
          <w:p w14:paraId="34C03C70">
            <w:pPr>
              <w:rPr>
                <w:rFonts w:ascii="Arial"/>
                <w:sz w:val="21"/>
              </w:rPr>
            </w:pPr>
          </w:p>
        </w:tc>
        <w:tc>
          <w:tcPr>
            <w:tcW w:w="1424" w:type="dxa"/>
            <w:tcBorders>
              <w:top w:val="single" w:color="000000" w:sz="2" w:space="0"/>
              <w:bottom w:val="single" w:color="000000" w:sz="2" w:space="0"/>
            </w:tcBorders>
            <w:vAlign w:val="top"/>
          </w:tcPr>
          <w:p w14:paraId="7B31FCBE">
            <w:pPr>
              <w:rPr>
                <w:rFonts w:ascii="Arial"/>
                <w:sz w:val="21"/>
              </w:rPr>
            </w:pPr>
          </w:p>
        </w:tc>
        <w:tc>
          <w:tcPr>
            <w:tcW w:w="3544" w:type="dxa"/>
            <w:tcBorders>
              <w:top w:val="single" w:color="000000" w:sz="2" w:space="0"/>
              <w:bottom w:val="single" w:color="000000" w:sz="2" w:space="0"/>
            </w:tcBorders>
            <w:vAlign w:val="top"/>
          </w:tcPr>
          <w:p w14:paraId="78CDF4E4">
            <w:pPr>
              <w:rPr>
                <w:rFonts w:ascii="Arial"/>
                <w:sz w:val="21"/>
              </w:rPr>
            </w:pPr>
          </w:p>
        </w:tc>
      </w:tr>
    </w:tbl>
    <w:p w14:paraId="5E15868F">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七、奖项设置</w:t>
      </w:r>
    </w:p>
    <w:p w14:paraId="42B13D49">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1.本校在官网上报名团队数：</w:t>
      </w:r>
    </w:p>
    <w:p w14:paraId="7FB39C5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2.合规团队数：</w:t>
      </w:r>
    </w:p>
    <w:p w14:paraId="7B0A5FA2">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3.本校实际参赛团队数：</w:t>
      </w:r>
    </w:p>
    <w:p w14:paraId="74C45AC8">
      <w:pPr>
        <w:spacing w:before="78" w:line="361" w:lineRule="auto"/>
        <w:ind w:left="24" w:firstLine="483"/>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4.获奖队数。见《第十五届全国大学生电子商务“创新、创意及创业”挑战赛竞赛规则》第六十一条</w:t>
      </w:r>
    </w:p>
    <w:p w14:paraId="5F80215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各类奖项数量</w:t>
      </w:r>
    </w:p>
    <w:p w14:paraId="5C612C9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金奖：</w:t>
      </w:r>
    </w:p>
    <w:p w14:paraId="0B407530">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银奖：</w:t>
      </w:r>
    </w:p>
    <w:p w14:paraId="32DF918A">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铜奖：</w:t>
      </w:r>
    </w:p>
    <w:p w14:paraId="58352CB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单项奖：</w:t>
      </w:r>
      <w:bookmarkStart w:id="0" w:name="_GoBack"/>
      <w:bookmarkEnd w:id="0"/>
      <w:r>
        <w:rPr>
          <w:rFonts w:hint="eastAsia" w:ascii="宋体" w:hAnsi="宋体" w:eastAsia="宋体" w:cs="宋体"/>
          <w:spacing w:val="-5"/>
          <w:sz w:val="24"/>
          <w:szCs w:val="24"/>
          <w:lang w:val="en-US" w:eastAsia="zh-CN"/>
        </w:rPr>
        <w:t>最佳创新奖、最佳创意奖、最佳创业奖</w:t>
      </w:r>
    </w:p>
    <w:p w14:paraId="2BCC55B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最佳指导老师奖：</w:t>
      </w:r>
    </w:p>
    <w:p w14:paraId="2DAB45DF">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优秀指导老师奖：</w:t>
      </w:r>
    </w:p>
    <w:p w14:paraId="22908AB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奖品设置</w:t>
      </w:r>
    </w:p>
    <w:p w14:paraId="11856D16">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奖品：由学校自定</w:t>
      </w:r>
    </w:p>
    <w:p w14:paraId="57BB28D4">
      <w:pPr>
        <w:spacing w:before="78" w:line="361" w:lineRule="auto"/>
        <w:ind w:left="24" w:firstLine="483"/>
        <w:rPr>
          <w:rFonts w:ascii="Arial"/>
          <w:sz w:val="21"/>
        </w:rPr>
      </w:pPr>
      <w:r>
        <w:rPr>
          <w:rFonts w:hint="eastAsia" w:ascii="宋体" w:hAnsi="宋体" w:eastAsia="宋体" w:cs="宋体"/>
          <w:spacing w:val="-5"/>
          <w:sz w:val="24"/>
          <w:szCs w:val="24"/>
          <w:lang w:val="en-US" w:eastAsia="zh-CN"/>
        </w:rPr>
        <w:t>证书：由竞组委在官网上统一颁发参赛证书和获奖证书</w:t>
      </w:r>
    </w:p>
    <w:p w14:paraId="6C5237A9">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八、计划书的提交与审查</w:t>
      </w:r>
    </w:p>
    <w:p w14:paraId="17332B9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1.校赛计划书应在校赛比赛前（10个工作日），提交到省赛组委会。</w:t>
      </w:r>
    </w:p>
    <w:p w14:paraId="0A69AB98">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2.校赛组委会对校赛《项目报告书》要提交到省级赛组委会做合规检查，校赛组委会对不合规者要责成参赛团队修改到合规为止，否则不能参赛。</w:t>
      </w:r>
    </w:p>
    <w:p w14:paraId="3C03747B">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3.对校赛组委会没有按时提交计划书或者没有修改到位就进行了校赛的，一经查实则被认定为该校赛无效。</w:t>
      </w:r>
    </w:p>
    <w:p w14:paraId="401E8DAD">
      <w:pPr>
        <w:spacing w:before="78" w:line="361" w:lineRule="auto"/>
        <w:ind w:left="24" w:firstLine="483"/>
        <w:rPr>
          <w:rFonts w:ascii="Arial"/>
          <w:sz w:val="21"/>
        </w:rPr>
      </w:pPr>
      <w:r>
        <w:rPr>
          <w:rFonts w:hint="eastAsia" w:ascii="宋体" w:hAnsi="宋体" w:eastAsia="宋体" w:cs="宋体"/>
          <w:spacing w:val="-5"/>
          <w:sz w:val="24"/>
          <w:szCs w:val="24"/>
          <w:lang w:val="en-US" w:eastAsia="zh-CN"/>
        </w:rPr>
        <w:t>4.省赛竞组委应该把合规的校赛计划书提交到第十五届三创赛竞赛组委会秘书处存档，以利三创赛竞组委向校赛颁奖和颁发参赛证书。</w:t>
      </w:r>
    </w:p>
    <w:p w14:paraId="3A726215">
      <w:pPr>
        <w:keepNext w:val="0"/>
        <w:keepLines w:val="0"/>
        <w:pageBreakBefore w:val="0"/>
        <w:widowControl w:val="0"/>
        <w:kinsoku w:val="0"/>
        <w:wordWrap/>
        <w:overflowPunct/>
        <w:topLinePunct w:val="0"/>
        <w:autoSpaceDE w:val="0"/>
        <w:autoSpaceDN w:val="0"/>
        <w:bidi w:val="0"/>
        <w:adjustRightInd w:val="0"/>
        <w:snapToGrid w:val="0"/>
        <w:spacing w:before="0" w:beforeLines="100" w:after="0" w:afterLines="100" w:line="221" w:lineRule="auto"/>
        <w:ind w:left="45"/>
        <w:textAlignment w:val="baseline"/>
        <w:outlineLvl w:val="0"/>
        <w:rPr>
          <w:rFonts w:ascii="宋体" w:hAnsi="宋体" w:eastAsia="宋体" w:cs="宋体"/>
          <w:spacing w:val="4"/>
          <w:sz w:val="24"/>
          <w:szCs w:val="24"/>
          <w14:textOutline w14:w="5451" w14:cap="flat" w14:cmpd="sng">
            <w14:solidFill>
              <w14:srgbClr w14:val="000000"/>
            </w14:solidFill>
            <w14:prstDash w14:val="solid"/>
            <w14:miter w14:val="0"/>
          </w14:textOutline>
        </w:rPr>
      </w:pPr>
      <w:r>
        <w:rPr>
          <w:rFonts w:ascii="宋体" w:hAnsi="宋体" w:eastAsia="宋体" w:cs="宋体"/>
          <w:spacing w:val="4"/>
          <w:sz w:val="24"/>
          <w:szCs w:val="24"/>
          <w14:textOutline w14:w="5451" w14:cap="flat" w14:cmpd="sng">
            <w14:solidFill>
              <w14:srgbClr w14:val="000000"/>
            </w14:solidFill>
            <w14:prstDash w14:val="solid"/>
            <w14:miter w14:val="0"/>
          </w14:textOutline>
        </w:rPr>
        <w:t>九、</w:t>
      </w:r>
      <w:r>
        <w:rPr>
          <w:rFonts w:hint="eastAsia" w:ascii="宋体" w:hAnsi="宋体" w:eastAsia="宋体" w:cs="宋体"/>
          <w:spacing w:val="4"/>
          <w:sz w:val="24"/>
          <w:szCs w:val="24"/>
          <w:lang w:val="en-US" w:eastAsia="zh-CN"/>
          <w14:textOutline w14:w="5451" w14:cap="flat" w14:cmpd="sng">
            <w14:solidFill>
              <w14:srgbClr w14:val="000000"/>
            </w14:solidFill>
            <w14:prstDash w14:val="solid"/>
            <w14:miter w14:val="0"/>
          </w14:textOutline>
        </w:rPr>
        <w:t>校赛</w:t>
      </w:r>
      <w:r>
        <w:rPr>
          <w:rFonts w:ascii="宋体" w:hAnsi="宋体" w:eastAsia="宋体" w:cs="宋体"/>
          <w:spacing w:val="4"/>
          <w:sz w:val="24"/>
          <w:szCs w:val="24"/>
          <w14:textOutline w14:w="5451" w14:cap="flat" w14:cmpd="sng">
            <w14:solidFill>
              <w14:srgbClr w14:val="000000"/>
            </w14:solidFill>
            <w14:prstDash w14:val="solid"/>
            <w14:miter w14:val="0"/>
          </w14:textOutline>
        </w:rPr>
        <w:t>组织委员会秘书处联系方式</w:t>
      </w:r>
    </w:p>
    <w:p w14:paraId="6F97A891">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负责人姓名     职称（职务）：     邮箱              </w:t>
      </w:r>
    </w:p>
    <w:p w14:paraId="310EA855">
      <w:pPr>
        <w:spacing w:before="78" w:line="361" w:lineRule="auto"/>
        <w:ind w:left="24" w:firstLine="483"/>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 xml:space="preserve">管理员姓名     职称（职务）：     邮箱              </w:t>
      </w:r>
    </w:p>
    <w:p w14:paraId="35A7749F">
      <w:pPr>
        <w:spacing w:before="78" w:line="361" w:lineRule="auto"/>
        <w:ind w:left="24" w:firstLine="483"/>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说明：本计划书由第十五届三创赛竞赛组织委员会秘书处制定。</w:t>
      </w:r>
    </w:p>
    <w:sectPr>
      <w:pgSz w:w="11910" w:h="16845"/>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ZhMjgwOTA1ZjVlMTZlYzEwMGM0ZDNjNmY1MDc1NjMifQ=="/>
  </w:docVars>
  <w:rsids>
    <w:rsidRoot w:val="00000000"/>
    <w:rsid w:val="296C1E29"/>
    <w:rsid w:val="29F671A5"/>
    <w:rsid w:val="3A537178"/>
    <w:rsid w:val="41532D61"/>
    <w:rsid w:val="BB559CB3"/>
    <w:rsid w:val="F3F68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1145</Words>
  <Characters>1174</Characters>
  <TotalTime>4</TotalTime>
  <ScaleCrop>false</ScaleCrop>
  <LinksUpToDate>false</LinksUpToDate>
  <CharactersWithSpaces>1240</CharactersWithSpaces>
  <Application>WPS Office_6.10.1.8873_F1E327BC-269C-435d-A152-05C5408002CA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2023-09-04T19:41:00Z</dcterms:created>
  <dc:creator>92850</dc:creator>
  <cp:lastModifiedBy>lilei</cp:lastModifiedBy>
  <dcterms:modified xsi:type="dcterms:W3CDTF">2024-09-13T14:41:06Z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2023-09-04T11:42:35Z</vt:filetime>
  </property>
  <property fmtid="{D5CDD505-2E9C-101B-9397-08002B2CF9AE}" pid="4" name="KSOProductBuildVer">
    <vt:lpwstr>2052-6.10.1.8873</vt:lpwstr>
  </property>
  <property fmtid="{D5CDD505-2E9C-101B-9397-08002B2CF9AE}" pid="5" name="ICV">
    <vt:lpwstr>795FEC74956D4E29B17F2B77129BB48D_13</vt:lpwstr>
  </property>
</Properties>
</file>